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168CC">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A168CC">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06.10.2025</w:t>
            </w: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A168CC">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Генеральний дирек</w:t>
            </w:r>
            <w:r>
              <w:rPr>
                <w:rFonts w:ascii="Times New Roman CYR" w:hAnsi="Times New Roman CYR" w:cs="Times New Roman CYR"/>
                <w:sz w:val="24"/>
                <w:szCs w:val="24"/>
              </w:rPr>
              <w:t>тор</w:t>
            </w:r>
          </w:p>
        </w:tc>
        <w:tc>
          <w:tcPr>
            <w:tcW w:w="216" w:type="dxa"/>
            <w:tcBorders>
              <w:top w:val="nil"/>
              <w:left w:val="nil"/>
              <w:bottom w:val="nil"/>
              <w:right w:val="nil"/>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Венгловський Леонiд Петрович</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000000" w:rsidRDefault="00A168CC">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A168C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000000" w:rsidRDefault="00A168C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"Ушицький комбiнат будiвельних матерiалiв" (00110177)</w:t>
      </w:r>
    </w:p>
    <w:p w:rsidR="00000000" w:rsidRDefault="00A168C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2023 рік</w:t>
      </w:r>
    </w:p>
    <w:p w:rsidR="00000000" w:rsidRDefault="00A168CC">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26.09.2025, Затвердити рiчну iнформацiю Емiтента цiнних паперiв за 2023 рiк та погодити її оприлюднення на власному сайтi та подати її до НКЦПФР</w:t>
      </w: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w:t>
      </w:r>
      <w:r>
        <w:rPr>
          <w:rFonts w:ascii="Times New Roman CYR" w:hAnsi="Times New Roman CYR" w:cs="Times New Roman CYR"/>
          <w:sz w:val="24"/>
          <w:szCs w:val="24"/>
        </w:rPr>
        <w:t>прилюднення регульованої інформації: Державна установа "Агентство з розвитку iнфраструктури фондового ринку України", 21676262, Україна, DR/00001/APA</w:t>
      </w: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даних до Національної комісії з цінних паперів та фон</w:t>
      </w:r>
      <w:r>
        <w:rPr>
          <w:rFonts w:ascii="Times New Roman CYR" w:hAnsi="Times New Roman CYR" w:cs="Times New Roman CYR"/>
          <w:sz w:val="24"/>
          <w:szCs w:val="24"/>
        </w:rPr>
        <w:t>дового ринку: Державна установа "Агентство з розвитку iнфраструктури фондового ринку України", 21676262, Україна, DR/00002/ARM</w:t>
      </w: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https://ukbm.com.ua</w:t>
            </w:r>
          </w:p>
        </w:tc>
        <w:tc>
          <w:tcPr>
            <w:tcW w:w="1885" w:type="dxa"/>
            <w:tcBorders>
              <w:top w:val="nil"/>
              <w:left w:val="nil"/>
              <w:bottom w:val="single" w:sz="6" w:space="0" w:color="auto"/>
              <w:right w:val="nil"/>
            </w:tcBorders>
            <w:vAlign w:val="bottom"/>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06.10.2025</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A168CC">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A168CC">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570" w:right="720" w:bottom="570" w:left="720" w:header="720" w:footer="720" w:gutter="0"/>
          <w:cols w:space="720"/>
          <w:noEndnote/>
        </w:sectPr>
      </w:pPr>
    </w:p>
    <w:p w:rsidR="00000000" w:rsidRDefault="00A168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"Положення про розкриття iнформацiї емiтентами цiнних паперiв, а також особами, якi надають забезпечення за такими цiнними паперами" Приватне акцiонерне товариство не зобов'язано розкривати таку регулярну рiчну iнформацiю: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щодо посади</w:t>
      </w:r>
      <w:r>
        <w:rPr>
          <w:rFonts w:ascii="Times New Roman CYR" w:hAnsi="Times New Roman CYR" w:cs="Times New Roman CYR"/>
          <w:sz w:val="24"/>
          <w:szCs w:val="24"/>
        </w:rPr>
        <w:t xml:space="preserve"> корпоративного секретаря;</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iнформацiя щодо володiння посадовими особами акцiями емiтента</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одержанi лiцензiї на окремi види дiяльностi;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iнформацiю про будь-якi винагороди або компенсацiї, якi мають бути виплаченi посадовим особам емiт</w:t>
      </w:r>
      <w:r>
        <w:rPr>
          <w:rFonts w:ascii="Times New Roman CYR" w:hAnsi="Times New Roman CYR" w:cs="Times New Roman CYR"/>
          <w:sz w:val="24"/>
          <w:szCs w:val="24"/>
        </w:rPr>
        <w:t>ента в разi їх звiльнення;</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змiну акцiонерiв, яким належать голосуючi акцiї, розмiр пакета яких стає бiльшим, меншим або дорiвнює пороговому значенню пакета акцiй;</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змiну осiб, яким належить право голосу за акцiями, сумарн</w:t>
      </w:r>
      <w:r>
        <w:rPr>
          <w:rFonts w:ascii="Times New Roman CYR" w:hAnsi="Times New Roman CYR" w:cs="Times New Roman CYR"/>
          <w:sz w:val="24"/>
          <w:szCs w:val="24"/>
        </w:rPr>
        <w:t>а кiлькiсть прав за якими стає бiльшою, меншою або дорiвнює пороговому значенню пакета акцiй;</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перелiк власникiв пакетiв 5 i бiльше вiдсоткiв акцiй iз зазначенням вiдсотка, кiлькостi, типу та/або класу належних їм акцiй;</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w:t>
      </w:r>
      <w:r>
        <w:rPr>
          <w:rFonts w:ascii="Times New Roman CYR" w:hAnsi="Times New Roman CYR" w:cs="Times New Roman CYR"/>
          <w:sz w:val="24"/>
          <w:szCs w:val="24"/>
        </w:rPr>
        <w:t>х правочинiв або правочинiв, щодо вчинення яких є заiнтересованiсть, або про попереднє надання згоди на вчинення значних правочинiв;</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iнформацiя про вчинення правочинiв щодо яких є заiнтересованiсть, про осiб, заiнтересованих у вчиненнi емiтентом правочи</w:t>
      </w:r>
      <w:r>
        <w:rPr>
          <w:rFonts w:ascii="Times New Roman CYR" w:hAnsi="Times New Roman CYR" w:cs="Times New Roman CYR"/>
          <w:sz w:val="24"/>
          <w:szCs w:val="24"/>
        </w:rPr>
        <w:t>нiв iз заiнтересованiстю, та обставини, iснування яких створює заiнтересованiсть;</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звiт про платежi на користь держави вiдповiдно до Закону про бухгалтерський облiк;</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звiт про сталий розвиток.</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Приватнi акцiонернi товариства мають право роз</w:t>
      </w:r>
      <w:r>
        <w:rPr>
          <w:rFonts w:ascii="Times New Roman CYR" w:hAnsi="Times New Roman CYR" w:cs="Times New Roman CYR"/>
          <w:sz w:val="24"/>
          <w:szCs w:val="24"/>
        </w:rPr>
        <w:t>кривати рiчну фiнансову звiтнiсть без перевiрки суб'єктом аудиторської дiяльностi. Тому в звiтi вiдсутнiй Аудиторський звiт до рiчної фiнасової звiтностi.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складi рiчного звiту емiтента вiдсутня iнформацiї в зв'яку з тим, що:</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усiх випускiв цiнних паперiв, за якими надається забезпечення - Емiтент не має випускiв цiнних паперiв, за якими надаються забезпечення iншими особами.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щодо всiх осiб, якi на дають забезпечення за зобов'язаннями емiтента - Ос</w:t>
      </w:r>
      <w:r>
        <w:rPr>
          <w:rFonts w:ascii="Times New Roman CYR" w:hAnsi="Times New Roman CYR" w:cs="Times New Roman CYR"/>
          <w:sz w:val="24"/>
          <w:szCs w:val="24"/>
        </w:rPr>
        <w:t>оби, якi надають забезпечення за випуском цiнних паперiв ПрАТ "УШИЦЬКИЙ КОМБIНАТ БУДIВЕЛЬНИХ МАТЕРIАЛIВ" вiдсутнi.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рейтингове агенство вiдсутня в зв'яку з тим, що в статутному капiталi емiтента державна частка вiдсутня, пiдприємство не має</w:t>
      </w:r>
      <w:r>
        <w:rPr>
          <w:rFonts w:ascii="Times New Roman CYR" w:hAnsi="Times New Roman CYR" w:cs="Times New Roman CYR"/>
          <w:sz w:val="24"/>
          <w:szCs w:val="24"/>
        </w:rPr>
        <w:t xml:space="preserve"> стратегiчного значення для економiки та безпеки держави на не займає монопольного (домiнуючого) становища.</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Участь в iнших юридичних особах - Емiтент в асоцiацiї, корпорацiї, консорцiуми, концерни та iншi об'єднання за галузевими, територiальними та iнши</w:t>
      </w:r>
      <w:r>
        <w:rPr>
          <w:rFonts w:ascii="Times New Roman CYR" w:hAnsi="Times New Roman CYR" w:cs="Times New Roman CYR"/>
          <w:sz w:val="24"/>
          <w:szCs w:val="24"/>
        </w:rPr>
        <w:t xml:space="preserve">ми принципами не входить.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фiлiалiв або iнших вiдокремлених структурних пiдроздiлiв емiтента. Фiлiалiв або iнших вiдокремлених структурних пiдроздiлiв емiтент не має.</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Облiгацiї емiтентом не випускалися.</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цiннi папери, вип</w:t>
      </w:r>
      <w:r>
        <w:rPr>
          <w:rFonts w:ascii="Times New Roman CYR" w:hAnsi="Times New Roman CYR" w:cs="Times New Roman CYR"/>
          <w:sz w:val="24"/>
          <w:szCs w:val="24"/>
        </w:rPr>
        <w:t>уск яких пiдлягає реєстрацiї, емiтентом не випускалися.</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Деривативнi цiннi папери емiтент не випускав.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Борговi цiннi папери емiтент не випускав.</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Емiтент цiльовi корпоративнi облiгацiї, виконання, за якими забезпечене об'єктами нерухомостi, не випуска</w:t>
      </w:r>
      <w:r>
        <w:rPr>
          <w:rFonts w:ascii="Times New Roman CYR" w:hAnsi="Times New Roman CYR" w:cs="Times New Roman CYR"/>
          <w:sz w:val="24"/>
          <w:szCs w:val="24"/>
        </w:rPr>
        <w:t>в.</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придбання власних цiнних паперiв. Власнi цiннi папери емiтентом не придбавалися протягом звiтного року.</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Iнформацiї про наявнiсть у власностi працiвникiв емiтента цiнних паперiв (крiм акцiй) такого емiтента немає, тому що Емiтент iнших</w:t>
      </w:r>
      <w:r>
        <w:rPr>
          <w:rFonts w:ascii="Times New Roman CYR" w:hAnsi="Times New Roman CYR" w:cs="Times New Roman CYR"/>
          <w:sz w:val="24"/>
          <w:szCs w:val="24"/>
        </w:rPr>
        <w:t xml:space="preserve"> цiнних паперiв крiм акцiй не випускав</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у власностi працiвникiв особи акцiй у розмiрi понад 0,1 % розмiру статутного капiталу - працiвники пiдприємства акцiями емiтента у розмiрi понад 0,1 вiдсотка не володiють.</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w:t>
      </w:r>
      <w:r>
        <w:rPr>
          <w:rFonts w:ascii="Times New Roman CYR" w:hAnsi="Times New Roman CYR" w:cs="Times New Roman CYR"/>
          <w:sz w:val="24"/>
          <w:szCs w:val="24"/>
        </w:rPr>
        <w:t>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Обмежень щодо обiгу цiнних паперiв емiтента немає. Статутом не передбачено п</w:t>
      </w:r>
      <w:r>
        <w:rPr>
          <w:rFonts w:ascii="Times New Roman CYR" w:hAnsi="Times New Roman CYR" w:cs="Times New Roman CYR"/>
          <w:sz w:val="24"/>
          <w:szCs w:val="24"/>
        </w:rPr>
        <w:t xml:space="preserve">ереважне право на </w:t>
      </w:r>
      <w:r>
        <w:rPr>
          <w:rFonts w:ascii="Times New Roman CYR" w:hAnsi="Times New Roman CYR" w:cs="Times New Roman CYR"/>
          <w:sz w:val="24"/>
          <w:szCs w:val="24"/>
        </w:rPr>
        <w:lastRenderedPageBreak/>
        <w:t>придбання акцiй товариства, що пропонується їх власникам для продажу третiй особi.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 Звiт керiвництва. У складi Звiту керiвництва емiтента вiдсутня iнформацiї, в зв'яку з тим, що:</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1.1.1.2 - 9. Iнформацiя про практику корпоративного упра</w:t>
      </w:r>
      <w:r>
        <w:rPr>
          <w:rFonts w:ascii="Times New Roman CYR" w:hAnsi="Times New Roman CYR" w:cs="Times New Roman CYR"/>
          <w:sz w:val="24"/>
          <w:szCs w:val="24"/>
        </w:rPr>
        <w:t>влiння особи, застосовувану понад визначенi законодавством вимоги. Iнформацiя про практику корпоративного управлiння, застосовану понад визначенi законодавством вимоги вiдсутня. Принципи корпоративного управлiння, що застосовуються товариством в своїй дiял</w:t>
      </w:r>
      <w:r>
        <w:rPr>
          <w:rFonts w:ascii="Times New Roman CYR" w:hAnsi="Times New Roman CYR" w:cs="Times New Roman CYR"/>
          <w:sz w:val="24"/>
          <w:szCs w:val="24"/>
        </w:rPr>
        <w:t>ьностi, визначенi чинним законодавством України, Статутом товариства та власним кодексом корпоративного управлiння. Будь-яка iнша практика корпоративного управлiння не застосовується.</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1.1.3 Iнформацiя про збори власникiв облiгацiй та загальний опис прийнят</w:t>
      </w:r>
      <w:r>
        <w:rPr>
          <w:rFonts w:ascii="Times New Roman CYR" w:hAnsi="Times New Roman CYR" w:cs="Times New Roman CYR"/>
          <w:sz w:val="24"/>
          <w:szCs w:val="24"/>
        </w:rPr>
        <w:t>их на таких зборах рiшень. Iнформацiя про збори власникiв облiгацiй вiдсутня, бо жодних цiнних паперiв, крiм акцiй, товариство не випускало.</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1.1.4.3. Iнформацiя про проведення засiдання комiтетiв ради. Комiтети не створенi.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1.1.7 У товариствi документ, яки</w:t>
      </w:r>
      <w:r>
        <w:rPr>
          <w:rFonts w:ascii="Times New Roman CYR" w:hAnsi="Times New Roman CYR" w:cs="Times New Roman CYR"/>
          <w:sz w:val="24"/>
          <w:szCs w:val="24"/>
        </w:rPr>
        <w:t>й визначає полiтику системи внутрiшнього контролю (у тому числi щодо системи комплаєнс та внутрiшнього аудиту) та звiт щодо системи внутрiшнього контролю не затверджувався, рiшення про затвердження декларацiї схильностi до ризикiв не приймалось.</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Iнф</w:t>
      </w:r>
      <w:r>
        <w:rPr>
          <w:rFonts w:ascii="Times New Roman CYR" w:hAnsi="Times New Roman CYR" w:cs="Times New Roman CYR"/>
          <w:sz w:val="24"/>
          <w:szCs w:val="24"/>
        </w:rPr>
        <w:t>ормацiя про винагороду членiв виконавчого органу та/або ради особи. В ПрАТ "УШИЦЬКИЙ КОМБIНАТ БУДIВЕЛЬНИХ МАТЕРIАЛIВ" вiдсутнi внутрiшнi документи, що регламентують питання винагороди, та звiту про винагороду членiв наглядової ради та/або виконавчого орган</w:t>
      </w:r>
      <w:r>
        <w:rPr>
          <w:rFonts w:ascii="Times New Roman CYR" w:hAnsi="Times New Roman CYR" w:cs="Times New Roman CYR"/>
          <w:sz w:val="24"/>
          <w:szCs w:val="24"/>
        </w:rPr>
        <w:t>у.</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Iнформацiя про полiтику розкриття iнформацiї особою. Внутрiшнього документа, який визначає полiтику щодо розкриття iнформацiї особою у товариствi не було затверджено.</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1.1.13 Iнформацiя про радника. Iнформацiя про радника вiдсутня, оскiльки посади</w:t>
      </w:r>
      <w:r>
        <w:rPr>
          <w:rFonts w:ascii="Times New Roman CYR" w:hAnsi="Times New Roman CYR" w:cs="Times New Roman CYR"/>
          <w:sz w:val="24"/>
          <w:szCs w:val="24"/>
        </w:rPr>
        <w:t xml:space="preserve"> радника у товариствi немає.</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1.3.1-12. Iнформацiя щодо наявностi у емiтента вiдносин з iноземними державами зони ризику. У Емiтента немає жодних вiдносин з iноземними державами зони ризику.</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Iнформацiя про корпоративнi/акцiонернi) договори, укладенi акц</w:t>
      </w:r>
      <w:r>
        <w:rPr>
          <w:rFonts w:ascii="Times New Roman CYR" w:hAnsi="Times New Roman CYR" w:cs="Times New Roman CYR"/>
          <w:sz w:val="24"/>
          <w:szCs w:val="24"/>
        </w:rPr>
        <w:t>iонерами (учасниками) особи, яка наявна в особи. У емiтента не має в наявностi iнформацiї про корпоративнi договори укладенi акцiонерами емiтента.</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Iнформацiя про будь-якi договори та/або правочини, умовою чинностi яких є незмiннiсть осiб, якi здiйснюют</w:t>
      </w:r>
      <w:r>
        <w:rPr>
          <w:rFonts w:ascii="Times New Roman CYR" w:hAnsi="Times New Roman CYR" w:cs="Times New Roman CYR"/>
          <w:sz w:val="24"/>
          <w:szCs w:val="24"/>
        </w:rPr>
        <w:t xml:space="preserve">ь контроль над емiтентом. Договори та/або правочини, умовою чинностi яких є незмiннiсть осiб, якi здiйснюють контроль над емiтентом не укладалися.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Дивiдендна полiтика. Внутрiшнього документу, який визначає дивiдендну полiтику, товарис</w:t>
      </w:r>
      <w:r>
        <w:rPr>
          <w:rFonts w:ascii="Times New Roman CYR" w:hAnsi="Times New Roman CYR" w:cs="Times New Roman CYR"/>
          <w:sz w:val="24"/>
          <w:szCs w:val="24"/>
        </w:rPr>
        <w:t xml:space="preserve">тво не затверджувало.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виплату дивiдендiв та iнших доходiв за цiнними паперами у звiтному перiодi. У звiтному перiодi дивiденди та iншi доходи за цiнними паперами не виплачувалися.</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Перелiк посилань на внутрiшнi документи особи, що розмiщенi на вебсайтi особи. Перелiк посилань на внутрiшнi документи товариства вiдсутнiй, оскiльки приватнi акцiонернi товариства не зобов'язанi розмiщувати таку iнформацiю на власному веб сайтi.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III.1.</w:t>
      </w:r>
      <w:r>
        <w:rPr>
          <w:rFonts w:ascii="Times New Roman CYR" w:hAnsi="Times New Roman CYR" w:cs="Times New Roman CYR"/>
          <w:sz w:val="24"/>
          <w:szCs w:val="24"/>
        </w:rPr>
        <w:t xml:space="preserve"> З урахуванням вимог пункту 25 Положення, iнформацiя про розмiр доходу за видами дiяльностi особи розкривається у випадку проведення приватними акцiонерними товариствами аудиту фiнансової звiтностi. Аудит не проводився.</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V.1.2-8. Iнформацiя про випуски iпот</w:t>
      </w:r>
      <w:r>
        <w:rPr>
          <w:rFonts w:ascii="Times New Roman CYR" w:hAnsi="Times New Roman CYR" w:cs="Times New Roman CYR"/>
          <w:sz w:val="24"/>
          <w:szCs w:val="24"/>
        </w:rPr>
        <w:t>ечних облiгацiй. Товариство не випускало iпотечнi облiгацiї.</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V.2.1-6 Основнi вiдомостi про ФОН. Товариство не випускало сертифiкати ФОН.</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VII. Промiжна фiнансова звiтнiсть поручителя (страховика/гаранта) вiдсутня, бо емiтент не проводив забезпечення випуску</w:t>
      </w:r>
      <w:r>
        <w:rPr>
          <w:rFonts w:ascii="Times New Roman CYR" w:hAnsi="Times New Roman CYR" w:cs="Times New Roman CYR"/>
          <w:sz w:val="24"/>
          <w:szCs w:val="24"/>
        </w:rPr>
        <w:t xml:space="preserve"> боргових цiнних паперiв</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000000" w:rsidRDefault="00A168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II.</w:t>
      </w:r>
      <w:r>
        <w:rPr>
          <w:rFonts w:ascii="Times New Roman CYR" w:hAnsi="Times New Roman CYR" w:cs="Times New Roman CYR"/>
          <w:sz w:val="24"/>
          <w:szCs w:val="24"/>
        </w:rPr>
        <w:t xml:space="preserve"> Інформація щодо капіталу та цінних паперів</w:t>
      </w: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w:t>
      </w:r>
      <w:r>
        <w:rPr>
          <w:rFonts w:ascii="Times New Roman CYR" w:hAnsi="Times New Roman CYR" w:cs="Times New Roman CYR"/>
          <w:sz w:val="24"/>
          <w:szCs w:val="24"/>
        </w:rPr>
        <w:t>орпоративне управління</w:t>
      </w: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Корпоративні та інші договори</w:t>
      </w: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VI. Список посилань на регульовану інформацію, яка була розкрита протягом звітного року</w:t>
      </w: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A168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"Ушицький комбiнат будiвельних матерiалiв"</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"УШИЦЬКИЙ КОМБIНАТ БУДIВЕЛЬНИХ МАТЕРIАЛIВ"</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00110177</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30.06.1999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11563, Житомирська обл., Коростенський р-н, с. Гулянка, вул.Молодiжна, буд. 18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r>
            <w:r>
              <w:rPr>
                <w:rFonts w:ascii="Times New Roman CYR" w:hAnsi="Times New Roman CYR" w:cs="Times New Roman CYR"/>
                <w:sz w:val="24"/>
                <w:szCs w:val="24"/>
              </w:rPr>
              <w:t>Ні</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office@ukbm.com.ua</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https://ukbm.com.ua</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(097) 503-76-42, 8 (067) 412-09-30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3603694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91</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7475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08.11 - Добування декоративного та будiвельного каменю, вапняку, гiпсу, крейд</w:t>
            </w:r>
            <w:r>
              <w:rPr>
                <w:rFonts w:ascii="Times New Roman CYR" w:hAnsi="Times New Roman CYR" w:cs="Times New Roman CYR"/>
                <w:sz w:val="24"/>
                <w:szCs w:val="24"/>
              </w:rPr>
              <w:t>и та глинистого сланцю</w:t>
            </w: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23.70 - Рiзання, оброблення та оздоблення декоративного та будiвельного каменю</w:t>
            </w: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46.90 - Неспецiалiзована оптова торгiвля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Дворівнева</w:t>
            </w: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Інше: Структура управлiння особи не визначена</w:t>
            </w:r>
          </w:p>
        </w:tc>
      </w:tr>
    </w:tbl>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АТ "БАНК АЛЬЯНС"/980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300119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UA553001190000026006044040001</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АТ "Сенс-банк"</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300346</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UA613003460000026007021515801</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bl>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Судові справи: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200"/>
        <w:gridCol w:w="2200"/>
        <w:gridCol w:w="2200"/>
        <w:gridCol w:w="2200"/>
        <w:gridCol w:w="2200"/>
        <w:gridCol w:w="2200"/>
        <w:gridCol w:w="165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Номер справи та дата відкриття провадження</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Найменування суду</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Позивач</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Відповідач</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Третя особа</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Позовні вимоги (в т.ч. їх розмір)</w:t>
            </w:r>
          </w:p>
        </w:tc>
        <w:tc>
          <w:tcPr>
            <w:tcW w:w="165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Стан розгляду справи</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65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№906/258/23</w:t>
            </w:r>
          </w:p>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17.02.2023</w:t>
            </w:r>
          </w:p>
        </w:tc>
        <w:tc>
          <w:tcPr>
            <w:tcW w:w="2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Господарський суд Житомирської областi</w:t>
            </w:r>
          </w:p>
        </w:tc>
        <w:tc>
          <w:tcPr>
            <w:tcW w:w="2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ТДТ "Коростенський щебзавод"</w:t>
            </w:r>
          </w:p>
        </w:tc>
        <w:tc>
          <w:tcPr>
            <w:tcW w:w="2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"Ушицький комбiнат будiвельних матерiалiв"</w:t>
            </w:r>
          </w:p>
        </w:tc>
        <w:tc>
          <w:tcPr>
            <w:tcW w:w="2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немає</w:t>
            </w:r>
          </w:p>
        </w:tc>
        <w:tc>
          <w:tcPr>
            <w:tcW w:w="2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Стягнення заборгованостi в сумi 514987,12 грн</w:t>
            </w:r>
          </w:p>
        </w:tc>
        <w:tc>
          <w:tcPr>
            <w:tcW w:w="165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Рiшення прийното. Кошти сплаченi</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№906/596/22</w:t>
            </w:r>
          </w:p>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10.08.2022</w:t>
            </w:r>
          </w:p>
        </w:tc>
        <w:tc>
          <w:tcPr>
            <w:tcW w:w="2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Господарський суд Житомирської областi</w:t>
            </w:r>
          </w:p>
        </w:tc>
        <w:tc>
          <w:tcPr>
            <w:tcW w:w="2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ПП "Магнолiя плюс"</w:t>
            </w:r>
          </w:p>
        </w:tc>
        <w:tc>
          <w:tcPr>
            <w:tcW w:w="2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"Ушицький комбiнат будiвельних матерiалiв"</w:t>
            </w:r>
          </w:p>
        </w:tc>
        <w:tc>
          <w:tcPr>
            <w:tcW w:w="2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немає</w:t>
            </w:r>
          </w:p>
        </w:tc>
        <w:tc>
          <w:tcPr>
            <w:tcW w:w="2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Стягнення заборгованостi в сумi 640000 грн.</w:t>
            </w:r>
          </w:p>
        </w:tc>
        <w:tc>
          <w:tcPr>
            <w:tcW w:w="165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Рiшення прийното. Кошти сплаченi</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№906/277/23</w:t>
            </w:r>
          </w:p>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21.02.2023</w:t>
            </w:r>
          </w:p>
        </w:tc>
        <w:tc>
          <w:tcPr>
            <w:tcW w:w="2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Господарський суд Житомирської областi</w:t>
            </w:r>
          </w:p>
        </w:tc>
        <w:tc>
          <w:tcPr>
            <w:tcW w:w="2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ТОВ "Каменяр"</w:t>
            </w:r>
          </w:p>
        </w:tc>
        <w:tc>
          <w:tcPr>
            <w:tcW w:w="2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"Ушицький комбiнат будiвельних матерiалiв"</w:t>
            </w:r>
          </w:p>
        </w:tc>
        <w:tc>
          <w:tcPr>
            <w:tcW w:w="2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немає</w:t>
            </w:r>
          </w:p>
        </w:tc>
        <w:tc>
          <w:tcPr>
            <w:tcW w:w="2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Стягнення 1250804,43 грн.</w:t>
            </w:r>
          </w:p>
        </w:tc>
        <w:tc>
          <w:tcPr>
            <w:tcW w:w="165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Судом затверджено мирову угоду. Кошти сплаченi</w:t>
            </w:r>
          </w:p>
        </w:tc>
      </w:tr>
    </w:tbl>
    <w:p w:rsidR="00000000" w:rsidRDefault="00A168CC">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Штрафні санкції щодо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200"/>
        <w:gridCol w:w="2200"/>
        <w:gridCol w:w="2200"/>
        <w:gridCol w:w="4400"/>
        <w:gridCol w:w="3850"/>
      </w:tblGrid>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Номер та дата рішення, яким накладено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Орган, який наклав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Суть</w:t>
            </w:r>
            <w:r>
              <w:rPr>
                <w:rFonts w:ascii="Times New Roman CYR" w:hAnsi="Times New Roman CYR" w:cs="Times New Roman CYR"/>
                <w:sz w:val="20"/>
                <w:szCs w:val="20"/>
              </w:rPr>
              <w:t xml:space="preserve"> санкції (та її розмір, якщо застосовується)</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Підстава для накладення санкції (з посиланням на відповідні норми законодавства)</w:t>
            </w:r>
          </w:p>
        </w:tc>
        <w:tc>
          <w:tcPr>
            <w:tcW w:w="385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Інформація про виконання</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385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Податкове повiдомлення-рiшення №00048330408</w:t>
            </w:r>
          </w:p>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21.03.2023</w:t>
            </w:r>
          </w:p>
        </w:tc>
        <w:tc>
          <w:tcPr>
            <w:tcW w:w="2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Головне управлiння ДПС у Житомирськiй областi</w:t>
            </w:r>
          </w:p>
        </w:tc>
        <w:tc>
          <w:tcPr>
            <w:tcW w:w="2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Платником невчасно  подано Податкову декларацiю з податку на додану вартiсть. Штраф - 1020 грн</w:t>
            </w:r>
          </w:p>
        </w:tc>
        <w:tc>
          <w:tcPr>
            <w:tcW w:w="44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Гл2, ст49 п49.18, пп.49.18.1, п203.1 ст.203 Податкового кодексу України</w:t>
            </w:r>
          </w:p>
        </w:tc>
        <w:tc>
          <w:tcPr>
            <w:tcW w:w="385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Сплачено</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Податкове повiдомлення-рiшення №00057700408</w:t>
            </w:r>
          </w:p>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06.03.2023</w:t>
            </w:r>
          </w:p>
        </w:tc>
        <w:tc>
          <w:tcPr>
            <w:tcW w:w="2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Головне управлiння ДПС у Житомирськiй областi</w:t>
            </w:r>
          </w:p>
        </w:tc>
        <w:tc>
          <w:tcPr>
            <w:tcW w:w="2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Платником невчасно  подано Податкову декларацiю з податку на додану вартiсть. Штраф - 1020 грн</w:t>
            </w:r>
          </w:p>
        </w:tc>
        <w:tc>
          <w:tcPr>
            <w:tcW w:w="44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Гл2, ст49 п49.18, пп.49.18.1, п203.1 ст.203 Податкового коде</w:t>
            </w:r>
            <w:r>
              <w:rPr>
                <w:rFonts w:ascii="Times New Roman CYR" w:hAnsi="Times New Roman CYR" w:cs="Times New Roman CYR"/>
                <w:sz w:val="20"/>
                <w:szCs w:val="20"/>
              </w:rPr>
              <w:t>ксу України</w:t>
            </w:r>
          </w:p>
        </w:tc>
        <w:tc>
          <w:tcPr>
            <w:tcW w:w="385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Сплачено</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Податкове повiдомлення-рiшення №0093420408</w:t>
            </w:r>
          </w:p>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29.05.2023</w:t>
            </w:r>
          </w:p>
        </w:tc>
        <w:tc>
          <w:tcPr>
            <w:tcW w:w="2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Головне управлiння ДПС у Житомирськiй областi</w:t>
            </w:r>
          </w:p>
        </w:tc>
        <w:tc>
          <w:tcPr>
            <w:tcW w:w="2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Порушення строку сплати грошового зобоязання, а саме Рентної плати за користування надрами для видобування корисних копалин загально</w:t>
            </w:r>
            <w:r>
              <w:rPr>
                <w:rFonts w:ascii="Times New Roman CYR" w:hAnsi="Times New Roman CYR" w:cs="Times New Roman CYR"/>
                <w:sz w:val="20"/>
                <w:szCs w:val="20"/>
              </w:rPr>
              <w:t>державного значення. Штраф - 6308,48 грн</w:t>
            </w:r>
          </w:p>
        </w:tc>
        <w:tc>
          <w:tcPr>
            <w:tcW w:w="44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Порушення норм встановлених п 54.1 ст.54 Податкового кодексу України</w:t>
            </w:r>
          </w:p>
        </w:tc>
        <w:tc>
          <w:tcPr>
            <w:tcW w:w="385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Сплачено</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Податкове повiдомлення-рiшення №000109470408</w:t>
            </w:r>
          </w:p>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14.06.2023</w:t>
            </w:r>
          </w:p>
        </w:tc>
        <w:tc>
          <w:tcPr>
            <w:tcW w:w="2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Головне управлiння ДПС у Житомирськiй областi</w:t>
            </w:r>
          </w:p>
        </w:tc>
        <w:tc>
          <w:tcPr>
            <w:tcW w:w="2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Порушення граничних строкiв реєстрацiї податкових накладних. </w:t>
            </w:r>
            <w:r>
              <w:rPr>
                <w:rFonts w:ascii="Times New Roman CYR" w:hAnsi="Times New Roman CYR" w:cs="Times New Roman CYR"/>
                <w:sz w:val="20"/>
                <w:szCs w:val="20"/>
              </w:rPr>
              <w:lastRenderedPageBreak/>
              <w:t>Штраф - 41989,75 грн</w:t>
            </w:r>
          </w:p>
        </w:tc>
        <w:tc>
          <w:tcPr>
            <w:tcW w:w="44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П.120.1 ст120 Податкового кодексу України</w:t>
            </w:r>
          </w:p>
        </w:tc>
        <w:tc>
          <w:tcPr>
            <w:tcW w:w="385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Сплачено</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5</w:t>
            </w:r>
          </w:p>
        </w:tc>
        <w:tc>
          <w:tcPr>
            <w:tcW w:w="2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Податкове повiдомлення-рiшення №000129330408</w:t>
            </w:r>
          </w:p>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10.07.2023</w:t>
            </w:r>
          </w:p>
        </w:tc>
        <w:tc>
          <w:tcPr>
            <w:tcW w:w="2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Головне управлiння ДПС у Житомирськiй областi</w:t>
            </w:r>
          </w:p>
        </w:tc>
        <w:tc>
          <w:tcPr>
            <w:tcW w:w="2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Порушення гранични</w:t>
            </w:r>
            <w:r>
              <w:rPr>
                <w:rFonts w:ascii="Times New Roman CYR" w:hAnsi="Times New Roman CYR" w:cs="Times New Roman CYR"/>
                <w:sz w:val="20"/>
                <w:szCs w:val="20"/>
              </w:rPr>
              <w:t>х строкiв реєстрацiї податкових накладних. Штраф - 1012,76 грн</w:t>
            </w:r>
          </w:p>
        </w:tc>
        <w:tc>
          <w:tcPr>
            <w:tcW w:w="44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П.120.1 ст120 Податкового кодексу України</w:t>
            </w:r>
          </w:p>
        </w:tc>
        <w:tc>
          <w:tcPr>
            <w:tcW w:w="385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Сплачено</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2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Податкове повiдомлення-рiшення №00122280408</w:t>
            </w:r>
          </w:p>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28.06.2023</w:t>
            </w:r>
          </w:p>
        </w:tc>
        <w:tc>
          <w:tcPr>
            <w:tcW w:w="2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Головне управлiння ДПС у Житомирськiй областi</w:t>
            </w:r>
          </w:p>
        </w:tc>
        <w:tc>
          <w:tcPr>
            <w:tcW w:w="2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Порушення граничних строкiв реєстрацiї податкових накладних. Штраф - 25774,61 грн</w:t>
            </w:r>
          </w:p>
        </w:tc>
        <w:tc>
          <w:tcPr>
            <w:tcW w:w="44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П.54.1 ст.54, п57.1 ст.57, п.203.1 ст203 Податкового кодексу України</w:t>
            </w:r>
          </w:p>
        </w:tc>
        <w:tc>
          <w:tcPr>
            <w:tcW w:w="385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Сплачено</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2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Податкове повiдомлення-рiшення №00105820408</w:t>
            </w:r>
          </w:p>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09.06.2023</w:t>
            </w:r>
          </w:p>
        </w:tc>
        <w:tc>
          <w:tcPr>
            <w:tcW w:w="2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Головне управлiння ДПС у Житомирськiй </w:t>
            </w:r>
            <w:r>
              <w:rPr>
                <w:rFonts w:ascii="Times New Roman CYR" w:hAnsi="Times New Roman CYR" w:cs="Times New Roman CYR"/>
                <w:sz w:val="20"/>
                <w:szCs w:val="20"/>
              </w:rPr>
              <w:t>областi</w:t>
            </w:r>
          </w:p>
        </w:tc>
        <w:tc>
          <w:tcPr>
            <w:tcW w:w="2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Порушення граничних строкiв реєстрацiї податкових накладних. Штраф - 25774,61 грн</w:t>
            </w:r>
          </w:p>
        </w:tc>
        <w:tc>
          <w:tcPr>
            <w:tcW w:w="44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П.16.1.5 п16.1 ст16, п.86.7 ст 86 роздiл 1 Податкового кодексу України</w:t>
            </w:r>
          </w:p>
        </w:tc>
        <w:tc>
          <w:tcPr>
            <w:tcW w:w="385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Сплачено</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2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Податкове повiдомлення-рiшення №000170340707</w:t>
            </w:r>
          </w:p>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14.09.2023</w:t>
            </w:r>
          </w:p>
        </w:tc>
        <w:tc>
          <w:tcPr>
            <w:tcW w:w="2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Головне управлiння ДПС у Житомирськiй областi</w:t>
            </w:r>
          </w:p>
        </w:tc>
        <w:tc>
          <w:tcPr>
            <w:tcW w:w="2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Пеня за порушення термiнiв розрахункiв у сферi ЗЕД невиконання зобовязань та ШС за порушення вимог валютного законодавства - 25375,49 грн</w:t>
            </w:r>
          </w:p>
        </w:tc>
        <w:tc>
          <w:tcPr>
            <w:tcW w:w="44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Пп.54.3.3 п.54.3 ст54 Податкового кодексу України та п.5 ст13 ЗУ "Про ва</w:t>
            </w:r>
            <w:r>
              <w:rPr>
                <w:rFonts w:ascii="Times New Roman CYR" w:hAnsi="Times New Roman CYR" w:cs="Times New Roman CYR"/>
                <w:sz w:val="20"/>
                <w:szCs w:val="20"/>
              </w:rPr>
              <w:t>люту i валютнi операцiї"</w:t>
            </w:r>
          </w:p>
        </w:tc>
        <w:tc>
          <w:tcPr>
            <w:tcW w:w="385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Сплачено</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2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Податкове повiдомлення-рiшення №00232110408</w:t>
            </w:r>
          </w:p>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11.12.2023</w:t>
            </w:r>
          </w:p>
        </w:tc>
        <w:tc>
          <w:tcPr>
            <w:tcW w:w="2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Головне управлiння ДПС у Житомирськiй областi</w:t>
            </w:r>
          </w:p>
        </w:tc>
        <w:tc>
          <w:tcPr>
            <w:tcW w:w="2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Платником невчасно  подано Податкову декларацiю з податку на прибуток. Штраф - 1671,45 грн</w:t>
            </w:r>
          </w:p>
        </w:tc>
        <w:tc>
          <w:tcPr>
            <w:tcW w:w="44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Гл2, ст49 п.п. 49.18.6, пп.49.18.1, п.49.18, п.137.4 п. 137.5 ст 137 Податкового кодексу України</w:t>
            </w:r>
          </w:p>
        </w:tc>
        <w:tc>
          <w:tcPr>
            <w:tcW w:w="385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Сплачено</w:t>
            </w:r>
          </w:p>
        </w:tc>
      </w:tr>
    </w:tbl>
    <w:p w:rsidR="00000000" w:rsidRDefault="00A168CC">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A168CC">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lastRenderedPageBreak/>
        <w:t>2. Органи управління та посадові особи. Організаційна структура</w:t>
      </w:r>
    </w:p>
    <w:p w:rsidR="00000000" w:rsidRDefault="00A168C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w:t>
            </w:r>
            <w:r>
              <w:rPr>
                <w:rFonts w:ascii="Times New Roman CYR" w:hAnsi="Times New Roman CYR" w:cs="Times New Roman CYR"/>
              </w:rPr>
              <w:t>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w:t>
            </w:r>
          </w:p>
        </w:tc>
        <w:tc>
          <w:tcPr>
            <w:tcW w:w="40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 зборах.</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член наглядової ради. Комiтети не створенi.</w:t>
            </w:r>
          </w:p>
        </w:tc>
        <w:tc>
          <w:tcPr>
            <w:tcW w:w="4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 Андрюс Шедiс - представник акцiонера ГЛЕДВIН IНДАСТРIАЛ ЛТД, Член Наглядової ради - Наталiя Коннiк - представник акцiонера ГЛЕДВIН IНДАСТРIАЛ ЛТД.</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Одноосiбни</w:t>
            </w:r>
            <w:r>
              <w:rPr>
                <w:rFonts w:ascii="Times New Roman CYR" w:hAnsi="Times New Roman CYR" w:cs="Times New Roman CYR"/>
              </w:rPr>
              <w:t>й виконавчий орган - Генеральний директор</w:t>
            </w:r>
          </w:p>
        </w:tc>
        <w:tc>
          <w:tcPr>
            <w:tcW w:w="4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Венгловський Леонiд Петрович</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4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Ревiзiйна комiсiя</w:t>
            </w:r>
          </w:p>
        </w:tc>
        <w:tc>
          <w:tcPr>
            <w:tcW w:w="40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члени ревiзiйної комiсiї.</w:t>
            </w:r>
          </w:p>
        </w:tc>
        <w:tc>
          <w:tcPr>
            <w:tcW w:w="4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Ревiзiйної комiсiї -  Большаков Iлля Володимирович, Член Ревiзiйної комiсiї - Будас Олександр Пилипович</w:t>
            </w:r>
          </w:p>
        </w:tc>
      </w:tr>
    </w:tbl>
    <w:p w:rsidR="00000000" w:rsidRDefault="00A168CC">
      <w:pPr>
        <w:widowControl w:val="0"/>
        <w:autoSpaceDE w:val="0"/>
        <w:autoSpaceDN w:val="0"/>
        <w:adjustRightInd w:val="0"/>
        <w:spacing w:after="0" w:line="240" w:lineRule="auto"/>
        <w:rPr>
          <w:rFonts w:ascii="Times New Roman CYR" w:hAnsi="Times New Roman CYR" w:cs="Times New Roman CYR"/>
        </w:rPr>
      </w:pPr>
    </w:p>
    <w:p w:rsidR="00000000" w:rsidRDefault="00A168CC">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w:t>
            </w:r>
            <w:r>
              <w:rPr>
                <w:rFonts w:ascii="Times New Roman CYR" w:hAnsi="Times New Roman CYR" w:cs="Times New Roman CYR"/>
                <w:sz w:val="20"/>
                <w:szCs w:val="20"/>
              </w:rPr>
              <w:t xml:space="preserve">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 представник акцiонера ГЛЕДВIН IНДАСТРIАЛ ЛТД</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Наталiя Коннiк</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1982</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12</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компанiя Audina Treuhand (Князiвство Лiхтенштейн) </w:t>
            </w:r>
          </w:p>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трастовий керуючий </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03.05.2023</w:t>
            </w:r>
          </w:p>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 згiдно Статуту</w:t>
            </w:r>
          </w:p>
        </w:tc>
        <w:tc>
          <w:tcPr>
            <w:tcW w:w="140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 представник акцiонера ГЛЕДВIН IНДАСТРIАЛ ЛТД</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Андрюс Шедiс</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1984</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16</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UAB "PelletLand"</w:t>
            </w:r>
          </w:p>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 з комерцiї</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03.05.2023</w:t>
            </w:r>
          </w:p>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 згiдно Статуту</w:t>
            </w:r>
          </w:p>
        </w:tc>
        <w:tc>
          <w:tcPr>
            <w:tcW w:w="140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Генеральний 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Венгловський Леонiд Петрович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1967</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неповна вища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34</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"Ушицький комбiнат будiвельних матерiалiв"</w:t>
            </w:r>
          </w:p>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00110177</w:t>
            </w:r>
          </w:p>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з 14.01.2023 р. Генеральний директор. Протягом останнiх п'яти рокiв обiймав посади: з 09.10.2015 р. по 30.09.2016 р. головний iнженер ПАТ "Ушицький комбiнат будiвельних матерiалiв", до 01.10.2019 р. </w:t>
            </w:r>
            <w:r>
              <w:rPr>
                <w:rFonts w:ascii="Times New Roman CYR" w:hAnsi="Times New Roman CYR" w:cs="Times New Roman CYR"/>
                <w:sz w:val="20"/>
                <w:szCs w:val="20"/>
              </w:rPr>
              <w:t>ФОП (вантажнi перевезення), з 01.10.2019 року по 13.04.2020 року начальник виробництва ТОВ "Гранiт ЛТД", з 21.07.2020 р. по 11.01.2021 р. головний iнженер ТОВ "Гуменецький щебзавод", з 18.01.2021 року по 13.01.2023 року головний iнженер ПрАТ  "Ушицький ком</w:t>
            </w:r>
            <w:r>
              <w:rPr>
                <w:rFonts w:ascii="Times New Roman CYR" w:hAnsi="Times New Roman CYR" w:cs="Times New Roman CYR"/>
                <w:sz w:val="20"/>
                <w:szCs w:val="20"/>
              </w:rPr>
              <w:t xml:space="preserve">бiнат </w:t>
            </w:r>
            <w:r>
              <w:rPr>
                <w:rFonts w:ascii="Times New Roman CYR" w:hAnsi="Times New Roman CYR" w:cs="Times New Roman CYR"/>
                <w:sz w:val="20"/>
                <w:szCs w:val="20"/>
              </w:rPr>
              <w:lastRenderedPageBreak/>
              <w:t>будiвельних матерiалiв".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14.01.2023</w:t>
            </w:r>
          </w:p>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1 рiк</w:t>
            </w:r>
          </w:p>
        </w:tc>
        <w:tc>
          <w:tcPr>
            <w:tcW w:w="140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Інші посадові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Миклуха Таїса Вiталiївна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1989</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12</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"Ушицький комбiнат будiвельних матерiалiв"</w:t>
            </w:r>
          </w:p>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00110177</w:t>
            </w:r>
          </w:p>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02.08.2021 головний бухгалтер. З 20.05.2011 р. по 14.11.2018 р - головний спецiалiст Житомирського районного вiддiлу з призначення та перерахунку пенсiї Житомирського обєднаного управлiння Пенсiного фону України в Житомирськiй областi, з 15.11.2018 р. п</w:t>
            </w:r>
            <w:r>
              <w:rPr>
                <w:rFonts w:ascii="Times New Roman CYR" w:hAnsi="Times New Roman CYR" w:cs="Times New Roman CYR"/>
                <w:sz w:val="20"/>
                <w:szCs w:val="20"/>
              </w:rPr>
              <w:t>о 13.07.2020 - бухгалтер Сектору освiти Коростенського району, з 14.07.2020 р - по 02.08.2021 р - бухгалтер ПрАТ "Ушицький комбiнат будiвельних матерiалiв".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02.08.2021</w:t>
            </w:r>
          </w:p>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безтермiново</w:t>
            </w:r>
          </w:p>
        </w:tc>
        <w:tc>
          <w:tcPr>
            <w:tcW w:w="140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Ревiзiйної комiсiї</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Большаков Iлля Володимирович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1954</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45</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до 2018 року заступник директора "Универсал максим гранит", з 2018 року пенсiонер. </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26.03.2021</w:t>
            </w:r>
          </w:p>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 згiдно Статуту</w:t>
            </w:r>
          </w:p>
        </w:tc>
        <w:tc>
          <w:tcPr>
            <w:tcW w:w="140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Ревiзiйної комiсiї</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Будас Олександр Пилипович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1972</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Вiнницький педагогiчний унiверситет</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35</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"Гранiком"</w:t>
            </w:r>
          </w:p>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00902369</w:t>
            </w:r>
          </w:p>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менеджер з ЗЕЗ ПрАТ "Гранiком"</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26.03.2021</w:t>
            </w:r>
          </w:p>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 згiдно Статуту</w:t>
            </w:r>
          </w:p>
        </w:tc>
        <w:tc>
          <w:tcPr>
            <w:tcW w:w="140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A168CC">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000000">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w:t>
            </w:r>
            <w:r>
              <w:rPr>
                <w:rFonts w:ascii="Times New Roman CYR" w:hAnsi="Times New Roman CYR" w:cs="Times New Roman CYR"/>
                <w:sz w:val="20"/>
                <w:szCs w:val="20"/>
              </w:rPr>
              <w:t>лькість за типами акцій</w:t>
            </w:r>
          </w:p>
        </w:tc>
      </w:tr>
      <w:tr w:rsidR="00000000">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Генеральний 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Венгловський Леонiд Петрович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Миклуха Таїса Вiталiївна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 представник акцiонера ГЛЕДВIН IНДАСТРIАЛ ЛТД</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Наталiя Коннiк</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 представник акцiонера ГЛЕДВIН IНДАСТРIАЛ ЛТД</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Андрюс Шедiс</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Ревiзiйної комiсiї</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Большаков Iлля Володимирович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Ревiзiйної комiсiї</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Будас Олександр Пилипович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A168CC">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A168CC">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A168C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органiзацiйну структуру,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w:t>
      </w:r>
      <w:r>
        <w:rPr>
          <w:rFonts w:ascii="Times New Roman CYR" w:hAnsi="Times New Roman CYR" w:cs="Times New Roman CYR"/>
          <w:sz w:val="24"/>
          <w:szCs w:val="24"/>
        </w:rPr>
        <w:t>о структуру власностi особи у виглядi схематичного зображення, оскiльки приватнi акцiонернi товариства не зобов'язанi розмiщувати таку iнформацiю на власному веб сайтi.</w:t>
      </w: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Належнiсть особи до будь-яких об'єднань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w:t>
      </w:r>
      <w:r>
        <w:rPr>
          <w:rFonts w:ascii="Times New Roman CYR" w:hAnsi="Times New Roman CYR" w:cs="Times New Roman CYR"/>
          <w:sz w:val="24"/>
          <w:szCs w:val="24"/>
        </w:rPr>
        <w:t>нiсть до будь-яких об'єднань пiдприємств.</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проводить спiльну дiяльнiсть з iншими органiзацiями, пiдприємствами, установами.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2023 роцi здiйснювались </w:t>
      </w:r>
      <w:r>
        <w:rPr>
          <w:rFonts w:ascii="Times New Roman CYR" w:hAnsi="Times New Roman CYR" w:cs="Times New Roman CYR"/>
          <w:sz w:val="24"/>
          <w:szCs w:val="24"/>
        </w:rPr>
        <w:t>операцiї з пов'язаними особами ТОВ "Мисливське господарство "Боброва Гора" (компанiя пiд контролем суб'єкта господарювання з долею участi 95%). Товариство  несе витрати на утримання (надання безповоротної фiнансової допомоги) ТОВ "МГ "Боброва Гора", якi ск</w:t>
      </w:r>
      <w:r>
        <w:rPr>
          <w:rFonts w:ascii="Times New Roman CYR" w:hAnsi="Times New Roman CYR" w:cs="Times New Roman CYR"/>
          <w:sz w:val="24"/>
          <w:szCs w:val="24"/>
        </w:rPr>
        <w:t>лали у 2023 роцi - 32 тис. грн. Суми заборгованостi вiдсутнi.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Опис обраної облiкової полiтики (метод нарахування амортизацiї, метод оцiнки вартостi запасiв, метод облiку та оцiнки вартостi фiнансових iнвестицiй тощо).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несе вiдповiдальнiсть</w:t>
      </w:r>
      <w:r>
        <w:rPr>
          <w:rFonts w:ascii="Times New Roman CYR" w:hAnsi="Times New Roman CYR" w:cs="Times New Roman CYR"/>
          <w:sz w:val="24"/>
          <w:szCs w:val="24"/>
        </w:rPr>
        <w:t xml:space="preserve"> за пiдготовку фiнансової звiтностi, яка достовiрно подає фiнансовий стан Приватного акцiонерного товариства "Ушицький комбiнат будiвельних матерiалiв" станом на 31 грудня 2023 року, а також результати його дiяльностi за рiк, що закiнчується 31 грудня 2023</w:t>
      </w:r>
      <w:r>
        <w:rPr>
          <w:rFonts w:ascii="Times New Roman CYR" w:hAnsi="Times New Roman CYR" w:cs="Times New Roman CYR"/>
          <w:sz w:val="24"/>
          <w:szCs w:val="24"/>
        </w:rPr>
        <w:t xml:space="preserve"> року, рух грошових коштiв та змiни в капiталi, у вiдповiдностi до Мiжнародних стандартiв фiнансової звiтностi (надалi - "МСФЗ").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Товариства є фiнансовою звiтнiстю загального призначення, яка сформована з метою достовiрно подання фiнан</w:t>
      </w:r>
      <w:r>
        <w:rPr>
          <w:rFonts w:ascii="Times New Roman CYR" w:hAnsi="Times New Roman CYR" w:cs="Times New Roman CYR"/>
          <w:sz w:val="24"/>
          <w:szCs w:val="24"/>
        </w:rPr>
        <w:t>сового стану, фiнансових результатiв дiяльностi та грошових потокiв Товариства для задоволення iнформацiйних потреб широкого кола користувачiв при прийняттi ними економiчних рiшень. Концептуальною основою фiнансової звiтностi Товариства за рiк, що закiнчив</w:t>
      </w:r>
      <w:r>
        <w:rPr>
          <w:rFonts w:ascii="Times New Roman CYR" w:hAnsi="Times New Roman CYR" w:cs="Times New Roman CYR"/>
          <w:sz w:val="24"/>
          <w:szCs w:val="24"/>
        </w:rPr>
        <w:t xml:space="preserve">ся 31 грудня 2023 року, є Мiжнароднi стандарти фiнансової звiтностi (МСФЗ), включаючи Мiжнароднi стандарти бухгалтерського облiку (МСБО) та Тлумачення (КТМФЗ, ПКТ), виданi Радою з Мiжнародних стандартiв бухгалтерського облiку (РМСБО), в редакцiї чиннiй на </w:t>
      </w:r>
      <w:r>
        <w:rPr>
          <w:rFonts w:ascii="Times New Roman CYR" w:hAnsi="Times New Roman CYR" w:cs="Times New Roman CYR"/>
          <w:sz w:val="24"/>
          <w:szCs w:val="24"/>
        </w:rPr>
        <w:t>01 сiчня 2023 року, що офiцiйно оприлюдненнi на веб-сайтi Мiнiстерства фiнансiв України. Пiдготовлена Товариством фiнансова звiтнiсть чiтко та без будь-яких застережень вiдповiдає всiм вимогам чинних МСФЗ з врахуванням змiн, внесених РМСБО станом на 01 сiч</w:t>
      </w:r>
      <w:r>
        <w:rPr>
          <w:rFonts w:ascii="Times New Roman CYR" w:hAnsi="Times New Roman CYR" w:cs="Times New Roman CYR"/>
          <w:sz w:val="24"/>
          <w:szCs w:val="24"/>
        </w:rPr>
        <w:t>ня 2023 року, дотримання яких забезпечує достовiрне подання iнформацiї в фiнансовiй звiтностi, а саме, доречної, достовiрної, зiставної та зрозумiлої iнформацiї. При формуваннi фiнансової звiтностi Товариство керувалося також вимогами нацiональних законода</w:t>
      </w:r>
      <w:r>
        <w:rPr>
          <w:rFonts w:ascii="Times New Roman CYR" w:hAnsi="Times New Roman CYR" w:cs="Times New Roman CYR"/>
          <w:sz w:val="24"/>
          <w:szCs w:val="24"/>
        </w:rPr>
        <w:t>вчих та нормативних актiв щодо органiзацiї i ведення бухгалтерського облiку та складання фiнансової звiтностi в Українi, якi не суперечать вимогам МСФЗ.</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перейшло на Мiжнароднi стандарти фiнансової звiтностi (МСФЗ) 1 сiчня 2011 року вiдповiдно до</w:t>
      </w:r>
      <w:r>
        <w:rPr>
          <w:rFonts w:ascii="Times New Roman CYR" w:hAnsi="Times New Roman CYR" w:cs="Times New Roman CYR"/>
          <w:sz w:val="24"/>
          <w:szCs w:val="24"/>
        </w:rPr>
        <w:t xml:space="preserve"> положень МСФЗ (IFRS) 1 "Перше використання мiжнародних стандартiв фiнансової звiтностi". Керуючись МСФЗ 1, Товариство обрало першим звiтним перiодом рiк, що закiнчився 31 грудня 2012 року. З цiєї дати фiнансова звiтнiсть Товариства складається вiдповiдно </w:t>
      </w:r>
      <w:r>
        <w:rPr>
          <w:rFonts w:ascii="Times New Roman CYR" w:hAnsi="Times New Roman CYR" w:cs="Times New Roman CYR"/>
          <w:sz w:val="24"/>
          <w:szCs w:val="24"/>
        </w:rPr>
        <w:t>до вимог МСФЗ.</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використовує оцiнки та припущення, якi впливають на суми, що вiдображаються у фiнансовiй звiтностi, та на балансову вартiсть активiв та зобов'язань протягом наступного фiнансового року. Розрахунки та судження постiйно оцiнюються</w:t>
      </w:r>
      <w:r>
        <w:rPr>
          <w:rFonts w:ascii="Times New Roman CYR" w:hAnsi="Times New Roman CYR" w:cs="Times New Roman CYR"/>
          <w:sz w:val="24"/>
          <w:szCs w:val="24"/>
        </w:rPr>
        <w:t xml:space="preserve"> та базуються на попередньому досвiдi керiвництва та iнших факторах, у тому числi на очiкуваннях щодо майбутнiх подiй, якi вважаються обгрунтованими за поточних обставин. Крiм суджень, якi передбачають облiковi оцiнки, керiвництво пiдприємства </w:t>
      </w:r>
      <w:r>
        <w:rPr>
          <w:rFonts w:ascii="Times New Roman CYR" w:hAnsi="Times New Roman CYR" w:cs="Times New Roman CYR"/>
          <w:sz w:val="24"/>
          <w:szCs w:val="24"/>
        </w:rPr>
        <w:lastRenderedPageBreak/>
        <w:t>також викори</w:t>
      </w:r>
      <w:r>
        <w:rPr>
          <w:rFonts w:ascii="Times New Roman CYR" w:hAnsi="Times New Roman CYR" w:cs="Times New Roman CYR"/>
          <w:sz w:val="24"/>
          <w:szCs w:val="24"/>
        </w:rPr>
        <w:t>стовує професiйнi судження при застосуваннi облiкової полiтики.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пiдприємства регулярно виконує процедури для визначення наявностi ознак зменшення корисностi та перевiрки на предмет можливостi вiдшкодування балансової вартостi основних засобiв. </w:t>
      </w:r>
      <w:r>
        <w:rPr>
          <w:rFonts w:ascii="Times New Roman CYR" w:hAnsi="Times New Roman CYR" w:cs="Times New Roman CYR"/>
          <w:sz w:val="24"/>
          <w:szCs w:val="24"/>
        </w:rPr>
        <w:t>Визначення зменшення корисностi основних засобiв передбачає застосування оцiнок, якi включають, зокрема, встановлення причини, часу та суми зменшення корисностi. Зменшення корисностi грунтується на великiй кiлькостi факторiв, такi як: змiна поточного конку</w:t>
      </w:r>
      <w:r>
        <w:rPr>
          <w:rFonts w:ascii="Times New Roman CYR" w:hAnsi="Times New Roman CYR" w:cs="Times New Roman CYR"/>
          <w:sz w:val="24"/>
          <w:szCs w:val="24"/>
        </w:rPr>
        <w:t>рентного середовища, очiкування щодо зростання промисловостi, збiльшення вартостi капiталу, змiни у майбутнiй доступностi фiнансування, технологiчне застарювання, припинення певного виду дiяльностi, поточна вартiсть вiдшкодування та iншi змiни в обставинах</w:t>
      </w:r>
      <w:r>
        <w:rPr>
          <w:rFonts w:ascii="Times New Roman CYR" w:hAnsi="Times New Roman CYR" w:cs="Times New Roman CYR"/>
          <w:sz w:val="24"/>
          <w:szCs w:val="24"/>
        </w:rPr>
        <w:t xml:space="preserve">, якi свiдчать про зменшення корисностi. В умовах знецiнення нацiональної валюти та помiрної iнфляцiї у 2018-2023 рр., незначне зменшення корисностi окремих об'єктiв не призводить до зменшення його балансової вартостi.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 грудня 2023 р. керiвниц</w:t>
      </w:r>
      <w:r>
        <w:rPr>
          <w:rFonts w:ascii="Times New Roman CYR" w:hAnsi="Times New Roman CYR" w:cs="Times New Roman CYR"/>
          <w:sz w:val="24"/>
          <w:szCs w:val="24"/>
        </w:rPr>
        <w:t xml:space="preserve">тво пiдприємства не виявило жодних ознак зменшення корисностi балансової вартостi основних засобiв (1 сiчня 2023 р.: жодних ознак зменшення корисностi).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оцiнює залишковий строк корисного використання основних засобiв щонайменше на кiнець кожн</w:t>
      </w:r>
      <w:r>
        <w:rPr>
          <w:rFonts w:ascii="Times New Roman CYR" w:hAnsi="Times New Roman CYR" w:cs="Times New Roman CYR"/>
          <w:sz w:val="24"/>
          <w:szCs w:val="24"/>
        </w:rPr>
        <w:t>ого фiнансового року. Якщо очiкування вiдрiзняються вiд попереднiх оцiнок, змiни облiковуються як змiни в облiкових оцiнках вiдповiдно до МСБО (IAS) 8 "Облiковi полiтики, змiни в облiкових оцiнках та помилки". Такi оцiнки можуть мати суттєвий вплив на бала</w:t>
      </w:r>
      <w:r>
        <w:rPr>
          <w:rFonts w:ascii="Times New Roman CYR" w:hAnsi="Times New Roman CYR" w:cs="Times New Roman CYR"/>
          <w:sz w:val="24"/>
          <w:szCs w:val="24"/>
        </w:rPr>
        <w:t xml:space="preserve">нсову вартiсть основних засобiв та суму амортизацiї, визнану у звiтi про прибутки та збитки.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рiк, що закiнчився 31 грудня 2023 р., значних змiн у строках корисного використання основних засобiв не вiдбулося.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 облiковуються по найменшiй iз двох в</w:t>
      </w:r>
      <w:r>
        <w:rPr>
          <w:rFonts w:ascii="Times New Roman CYR" w:hAnsi="Times New Roman CYR" w:cs="Times New Roman CYR"/>
          <w:sz w:val="24"/>
          <w:szCs w:val="24"/>
        </w:rPr>
        <w:t xml:space="preserve">еличин: по собiвартостi або чистої вартостi реалiзацiї.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оцiнює необхiднiсть списання вартостi запасiв до їхньої чистої вартостi реалiзацiї з урахуванням цiн пiсля закiнчення перiоду та цiлей, для яких призначенi запаси. Якщо вартiсть запасiв н</w:t>
      </w:r>
      <w:r>
        <w:rPr>
          <w:rFonts w:ascii="Times New Roman CYR" w:hAnsi="Times New Roman CYR" w:cs="Times New Roman CYR"/>
          <w:sz w:val="24"/>
          <w:szCs w:val="24"/>
        </w:rPr>
        <w:t xml:space="preserve">е пiдлягає повному вiдшкодуванню, балансова вартiсть таких запасiв коригується до їхньої чистої вартостi реалiзацiї.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iнвестицiї не облiковуються.</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дiяльностi особи, достатнiсть робочого капiталу для пот</w:t>
      </w:r>
      <w:r>
        <w:rPr>
          <w:rFonts w:ascii="Times New Roman CYR" w:hAnsi="Times New Roman CYR" w:cs="Times New Roman CYR"/>
          <w:sz w:val="24"/>
          <w:szCs w:val="24"/>
        </w:rPr>
        <w:t>очних потреб, можливi шляхи покращення лiквiдностi.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 джерелом фiнансування дiяльностi Товариства є реалiзацiя продукцiї власного виробництва. Робочого капiталу достатньо для поточних потреб, фахiвцi емiтента не проводили оцiнки шляхiв покращення лi</w:t>
      </w:r>
      <w:r>
        <w:rPr>
          <w:rFonts w:ascii="Times New Roman CYR" w:hAnsi="Times New Roman CYR" w:cs="Times New Roman CYR"/>
          <w:sz w:val="24"/>
          <w:szCs w:val="24"/>
        </w:rPr>
        <w:t>квiдностi. Пiдприємство у звiтному 2023 роцi не отримувало фiнансових допомог вiд пов'язаних осiб.</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Дослiджень та розробок за звiтний рiк товариство не здiйснювало.</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Основний вид дiяльностi товариства у 2023 роцi.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Комбiнат розробляє гранiтне родовище "Боброва Гора", яке являється одним iз найбiл</w:t>
      </w:r>
      <w:r>
        <w:rPr>
          <w:rFonts w:ascii="Times New Roman CYR" w:hAnsi="Times New Roman CYR" w:cs="Times New Roman CYR"/>
          <w:sz w:val="24"/>
          <w:szCs w:val="24"/>
        </w:rPr>
        <w:t>ьших дiючих родовищ в Українi. Виробництво - щебенева продукцiя будь-яких фракцiй на замовлення Покупця. Вiдвантаження щебеневої продукцiї здiйснюється  залiзничним та автомобiльним транспортом. Щебiнь всiх фракцiй сертифiкований та вiдповiдає вимогам ГОСТ</w:t>
      </w:r>
      <w:r>
        <w:rPr>
          <w:rFonts w:ascii="Times New Roman CYR" w:hAnsi="Times New Roman CYR" w:cs="Times New Roman CYR"/>
          <w:sz w:val="24"/>
          <w:szCs w:val="24"/>
        </w:rPr>
        <w:t xml:space="preserve"> 8267-82 та ДСТУ Б  В. 2.7-75-98. Згiдно радiологiчних випробувань продукцiя має 1 клас i придатна на всi види будiвництва без обмежень. Насипна густина щебеню гранiтного фракцiї 5-20мм - 1,31т/мз. Колiр - свiтло сiрий.</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Предметом дiяльностi Товариства є ви</w:t>
      </w:r>
      <w:r>
        <w:rPr>
          <w:rFonts w:ascii="Times New Roman CYR" w:hAnsi="Times New Roman CYR" w:cs="Times New Roman CYR"/>
          <w:sz w:val="24"/>
          <w:szCs w:val="24"/>
        </w:rPr>
        <w:t xml:space="preserve">добуток та виробництво товарного щебню (переробка гiрничої маси гранiту у товарний щебiнь). Номенклатура продукцiї: щебiнь фракцiй 5х10, 5х15, 5х20, 20х40, 40х70, 20х70, 25х60, 70х120. Супутня продукцiя - пiщано-щебенева сумiш (вiдсiв). Пiдприємство також </w:t>
      </w:r>
      <w:r>
        <w:rPr>
          <w:rFonts w:ascii="Times New Roman CYR" w:hAnsi="Times New Roman CYR" w:cs="Times New Roman CYR"/>
          <w:sz w:val="24"/>
          <w:szCs w:val="24"/>
        </w:rPr>
        <w:t>отримує доходи вiд надання платних послуг механiзмами, автотранспортом, послуги вiдповiдального зберiгання.</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чистий дохiд складає 27475 тис.грн.</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середньореалiзацiйнi цiни продуктiв - 177,30 грн.;</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загальна сума виручки 27475 тис.грн.;</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5) загальна су</w:t>
      </w:r>
      <w:r>
        <w:rPr>
          <w:rFonts w:ascii="Times New Roman CYR" w:hAnsi="Times New Roman CYR" w:cs="Times New Roman CYR"/>
          <w:sz w:val="24"/>
          <w:szCs w:val="24"/>
        </w:rPr>
        <w:t>ма експорту, частка експорту в загальному обсязi продажiв. Продукцiя реалiзується в Українi.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залежнiсть вiд сезонних змiн - немає</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основнi клiєнти: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покупцями є: ТОВ "Будстоун", ТОВ "ВБФ Транс", ТОВ "ГРАНIТСТРОЙ-IНВЕСТ", ТОВ "Венера", ПП "Ене</w:t>
      </w:r>
      <w:r>
        <w:rPr>
          <w:rFonts w:ascii="Times New Roman CYR" w:hAnsi="Times New Roman CYR" w:cs="Times New Roman CYR"/>
          <w:sz w:val="24"/>
          <w:szCs w:val="24"/>
        </w:rPr>
        <w:t>ргобудпостач", ТОВ "Тригал", ТОВ "Гранiтторгцентр", ТОВ "Константа Плюс", ПП "Метал-Техноринок", ТОВ "Нерудєврорерус-2012", ТОВ "Свiмер", ТОВ "Озон", ТОВ "Сервiс Гарант Юнiком", ПП "Торгбудсервiс".</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ринки збуту та країни, в яких особою здiйснюється дiяль</w:t>
      </w:r>
      <w:r>
        <w:rPr>
          <w:rFonts w:ascii="Times New Roman CYR" w:hAnsi="Times New Roman CYR" w:cs="Times New Roman CYR"/>
          <w:sz w:val="24"/>
          <w:szCs w:val="24"/>
        </w:rPr>
        <w:t>нiсть - продукцiя реалiзується в Українi.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канали збуту.</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Будь-якi за домовленiстю з покупцем, бiльшiсть вироблюваної продукцiї реалiзується споживачам залiзничним транспортом та незначна частина - самовивозом автотранспортом. Джерела сировини, їх доступн</w:t>
      </w:r>
      <w:r>
        <w:rPr>
          <w:rFonts w:ascii="Times New Roman CYR" w:hAnsi="Times New Roman CYR" w:cs="Times New Roman CYR"/>
          <w:sz w:val="24"/>
          <w:szCs w:val="24"/>
        </w:rPr>
        <w:t>iсть - власний кар'єр.</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постачальники та види товарiв та/або послуг, якi вони постачають/надають особi, країни з яких здiйснюється постачання/надання товарiв/послуг.</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ПАТ "Житомиробленерго" Коростенський  РЕМ, ПАТ "Енергопостачальна компанiя "Жит</w:t>
      </w:r>
      <w:r>
        <w:rPr>
          <w:rFonts w:ascii="Times New Roman CYR" w:hAnsi="Times New Roman CYR" w:cs="Times New Roman CYR"/>
          <w:sz w:val="24"/>
          <w:szCs w:val="24"/>
        </w:rPr>
        <w:t>омиробленерго", ПП "Агропромполiсся", ФОП Ширнiн В.Л, ТОВ "ТЛК Варiант", ПП "Енергоспецсервiс", ТОВ " Житомиробленергокомпанiя", ПП "Софiя 2015", ТОВ "КОМПАНIЯ УКРГРАНIТ", ТОВ "Ситопром", , ТОВ "Продмаркетпром", ТОВ "Промгор", ТОВ "ОСКТРЕЙД", ПАТ "УКРАЇНСЬ</w:t>
      </w:r>
      <w:r>
        <w:rPr>
          <w:rFonts w:ascii="Times New Roman CYR" w:hAnsi="Times New Roman CYR" w:cs="Times New Roman CYR"/>
          <w:sz w:val="24"/>
          <w:szCs w:val="24"/>
        </w:rPr>
        <w:t>КА ЗАЛIЗНИЦЯ", ПП "Укрпалетсистем", ТОВ "Пiллар Лоджистiк", Управлiння полiцiї охорони в Житомирськiй областi, ТОВ "Гранрозробка" та iншi.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особливостi стану розвитку галузi, в якiй здiйснює дiяльнiсть особа.</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функцiонує в нестабiльному екон</w:t>
      </w:r>
      <w:r>
        <w:rPr>
          <w:rFonts w:ascii="Times New Roman CYR" w:hAnsi="Times New Roman CYR" w:cs="Times New Roman CYR"/>
          <w:sz w:val="24"/>
          <w:szCs w:val="24"/>
        </w:rPr>
        <w:t xml:space="preserve">омiчному середовищi. Поточна ситуацiя пов'язана з наростанням полiтичної кризи в країнi, зростанням курсу валют, вартостi енергоносiїв, сировини i матерiалiв. Незважаючи на стабiлiзацiйнi заходи, якi вживаються урядом України з метою пiдтримки фiнансового </w:t>
      </w:r>
      <w:r>
        <w:rPr>
          <w:rFonts w:ascii="Times New Roman CYR" w:hAnsi="Times New Roman CYR" w:cs="Times New Roman CYR"/>
          <w:sz w:val="24"/>
          <w:szCs w:val="24"/>
        </w:rPr>
        <w:t>сектору та забезпечення лiквiдностi українських компанiй, iснує невизначенiсть щодо можливостi доступу до джерел капiталу, а також вартостi капiталу для Товариства та її контрагентiв, що може вплинути на фiнансовий стан, результати операцiй та економiчнi п</w:t>
      </w:r>
      <w:r>
        <w:rPr>
          <w:rFonts w:ascii="Times New Roman CYR" w:hAnsi="Times New Roman CYR" w:cs="Times New Roman CYR"/>
          <w:sz w:val="24"/>
          <w:szCs w:val="24"/>
        </w:rPr>
        <w:t>ерспективи Товариства. В той час як керiвництво вважає, що воно вживає усiх необхiдних заходiв для пiдтримки економiчної стабiльностi Товариства в умовах, що склалися, подальше погiршення ситуацiї у зазначених вище галузях може мати негативний вплив на рез</w:t>
      </w:r>
      <w:r>
        <w:rPr>
          <w:rFonts w:ascii="Times New Roman CYR" w:hAnsi="Times New Roman CYR" w:cs="Times New Roman CYR"/>
          <w:sz w:val="24"/>
          <w:szCs w:val="24"/>
        </w:rPr>
        <w:t>ультати та фiнансовий стан Товариства, який неможливо визначити на цей момент.</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опис технологiй, якi використовує особа у своїй дiяльностi.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Початок виробничого процесу - розкривнi роботи. На родовищi "Боброва Гора" був знятий м'який грунт розкривних пор</w:t>
      </w:r>
      <w:r>
        <w:rPr>
          <w:rFonts w:ascii="Times New Roman CYR" w:hAnsi="Times New Roman CYR" w:cs="Times New Roman CYR"/>
          <w:sz w:val="24"/>
          <w:szCs w:val="24"/>
        </w:rPr>
        <w:t>iд, та почався промисловий добуток гранiту з послiдуючим дробленням його на щебiнь. В зв'язку з великим об'ємом робiт по розкриванню порiд є мiсця що запаси знаходяться на глубинi до 40 метрiв, на даний час економiчно неможливо  пiдприємству розробляти так</w:t>
      </w:r>
      <w:r>
        <w:rPr>
          <w:rFonts w:ascii="Times New Roman CYR" w:hAnsi="Times New Roman CYR" w:cs="Times New Roman CYR"/>
          <w:sz w:val="24"/>
          <w:szCs w:val="24"/>
        </w:rPr>
        <w:t>у потужнiсть розкривних порiд  i тому в 2019 роцi була проведена  геолого-економiчна оцiнка родовища  Боброва гора. Згiдно протоколу № 5011 засiдання колегiї  ДКУ по запасах корисних копалин вiд 26.12.2019 р., введенего в дiю у травнi 2020 року запаси крис</w:t>
      </w:r>
      <w:r>
        <w:rPr>
          <w:rFonts w:ascii="Times New Roman CYR" w:hAnsi="Times New Roman CYR" w:cs="Times New Roman CYR"/>
          <w:sz w:val="24"/>
          <w:szCs w:val="24"/>
        </w:rPr>
        <w:t xml:space="preserve">талiчних порiд родовища Боброва гора становлять 21759,6 м3, що  в попередньому протоколi №3665 вiд 29.09.2016 становили 72 642,6 тис. м3, тобто зменшились на 50 883,0 тис. м3.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Площа об'єкта, територiї - 124,50 га, основнi види корисних копалин: гнейс, гра</w:t>
      </w:r>
      <w:r>
        <w:rPr>
          <w:rFonts w:ascii="Times New Roman CYR" w:hAnsi="Times New Roman CYR" w:cs="Times New Roman CYR"/>
          <w:sz w:val="24"/>
          <w:szCs w:val="24"/>
        </w:rPr>
        <w:t>нiт, дiабаз, мiгматит. Розробка родовищ ведеться з 1960 року.</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має всю дозвiльну документацiю на розробку кар'єрiв, добування каменю та виробництво щебеню. У товариства є спецiальний дозвiл на користування надрами №2222 (є додатком до спецiальног</w:t>
      </w:r>
      <w:r>
        <w:rPr>
          <w:rFonts w:ascii="Times New Roman CYR" w:hAnsi="Times New Roman CYR" w:cs="Times New Roman CYR"/>
          <w:sz w:val="24"/>
          <w:szCs w:val="24"/>
        </w:rPr>
        <w:t>о дозволу) вiд 02.04.2018 р. про умови користування надрами з метою видобування корисних копалин виданий Державною службою геологiї та надр України. Дiя лiцензiї на використання надр при видобутку корисних копалин продовжена до 2040 року.</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Стадiї розробки т</w:t>
      </w:r>
      <w:r>
        <w:rPr>
          <w:rFonts w:ascii="Times New Roman CYR" w:hAnsi="Times New Roman CYR" w:cs="Times New Roman CYR"/>
          <w:sz w:val="24"/>
          <w:szCs w:val="24"/>
        </w:rPr>
        <w:t>акi: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Буро-вибуховi роботи в процесi яких проходить бурiння свердловин дiаметром 215мм., глибиною 16 метрiв, в якi потiм закладаються вибуховi речовини та проводиться вибух. Вихiд гiрничої маси, яка здатна для переробки в щебiнь складає 85%. Великi глиби</w:t>
      </w:r>
      <w:r>
        <w:rPr>
          <w:rFonts w:ascii="Times New Roman CYR" w:hAnsi="Times New Roman CYR" w:cs="Times New Roman CYR"/>
          <w:sz w:val="24"/>
          <w:szCs w:val="24"/>
        </w:rPr>
        <w:t xml:space="preserve"> гранiту пiдлягають подальшому подрiбненню. </w:t>
      </w:r>
      <w:r>
        <w:rPr>
          <w:rFonts w:ascii="Times New Roman CYR" w:hAnsi="Times New Roman CYR" w:cs="Times New Roman CYR"/>
          <w:sz w:val="24"/>
          <w:szCs w:val="24"/>
        </w:rPr>
        <w:lastRenderedPageBreak/>
        <w:t>Основне обладнання, яке використовується в буро-вибухових роботах, це буровi верстати 4 СБШ - 200, 5 СБШ - 200, ШПА - З М та автомобiль МАЗ -504 М з бункером для засипки вибухових речовин в свердловини. Компресор</w:t>
      </w:r>
      <w:r>
        <w:rPr>
          <w:rFonts w:ascii="Times New Roman CYR" w:hAnsi="Times New Roman CYR" w:cs="Times New Roman CYR"/>
          <w:sz w:val="24"/>
          <w:szCs w:val="24"/>
        </w:rPr>
        <w:t xml:space="preserve"> ПР -10 М подає стисле повiтря для роботи верстатом ШПА - З М, також подрiбнення проводиться гiдро молотом Н400 на базi ЕО 5124.</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Наступний етап - екскавацiя гiрничої маси екскаватором ЕКГ -5А в автомобiлi БелАЗ - 540 А, якi транспортують її до дробильно</w:t>
      </w:r>
      <w:r>
        <w:rPr>
          <w:rFonts w:ascii="Times New Roman CYR" w:hAnsi="Times New Roman CYR" w:cs="Times New Roman CYR"/>
          <w:sz w:val="24"/>
          <w:szCs w:val="24"/>
        </w:rPr>
        <w:t>-сортувального заводу та завантажують в приймальний бункер живильника.</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Третiй етап - дроблення гiрничої маси. В процесi дроблення використову</w:t>
      </w:r>
      <w:r>
        <w:rPr>
          <w:rFonts w:ascii="Times New Roman CYR" w:hAnsi="Times New Roman CYR" w:cs="Times New Roman CYR"/>
          <w:sz w:val="24"/>
          <w:szCs w:val="24"/>
        </w:rPr>
        <w:t>ються дробарки первинного дроблення СМД - 118, середнього КСД -2200, та дрiбного КМД -2200 , Конусна дробарка GR 550; Дробарка HCU 7/65. По конвеєрах подрiбнена гiрнича маса направляється на грохочення та сортування, де проходить роздiл на фракцiї та склад</w:t>
      </w:r>
      <w:r>
        <w:rPr>
          <w:rFonts w:ascii="Times New Roman CYR" w:hAnsi="Times New Roman CYR" w:cs="Times New Roman CYR"/>
          <w:sz w:val="24"/>
          <w:szCs w:val="24"/>
        </w:rPr>
        <w:t>ування товарного щебню.</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Наступний етап -  пересiв вiдсiву, вiдбiр дрiбних фракцiй (2х5; 5х10).</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Зi складiв товарний щебiнь iде на вiдвантаження до споживача за допомогою конвеєрiв та фронтальних навантажувачiв в залiзничнi вагони або  автотранспорт.</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w:t>
      </w:r>
      <w:r>
        <w:rPr>
          <w:rFonts w:ascii="Times New Roman CYR" w:hAnsi="Times New Roman CYR" w:cs="Times New Roman CYR"/>
          <w:sz w:val="24"/>
          <w:szCs w:val="24"/>
        </w:rPr>
        <w:t>iдприємству виданi ТУ Держгiрпромнагляду у Житомирськiй областi,  Управлiнням держпрацi у Житомирськiй областi належнi Дозволи на виконання робiт пiдвищеної небезпеки та експлуатацiю обладнання пiдвищеної небезпеки.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мiсце особи на ринку, на якому вона</w:t>
      </w:r>
      <w:r>
        <w:rPr>
          <w:rFonts w:ascii="Times New Roman CYR" w:hAnsi="Times New Roman CYR" w:cs="Times New Roman CYR"/>
          <w:sz w:val="24"/>
          <w:szCs w:val="24"/>
        </w:rPr>
        <w:t xml:space="preserve"> здiйснює дiяльнiсть- немає iнформацiї;</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рiвень конкуренцiя в галузi, основнi конкуренти особи.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Головним конкурентом є АТ "Коростенський щебзавод". Його продукцiя дешевше за рахунок меншої вартостi залiзничних тарифiв. Собiвартiсть продукцiї головного к</w:t>
      </w:r>
      <w:r>
        <w:rPr>
          <w:rFonts w:ascii="Times New Roman CYR" w:hAnsi="Times New Roman CYR" w:cs="Times New Roman CYR"/>
          <w:sz w:val="24"/>
          <w:szCs w:val="24"/>
        </w:rPr>
        <w:t>онкурента в 1,5 разiв менша при бiльш високому рiвнi якостi. Крiм того АТ "Коростенський щебзавод" розташований ближче до потенцiйних покупцiв нiж ПрАТ "УКБМ".</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перспективнi плани розвитку особи.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Перспективнi плати розвитку зпрогнозувати не можливо, абс</w:t>
      </w:r>
      <w:r>
        <w:rPr>
          <w:rFonts w:ascii="Times New Roman CYR" w:hAnsi="Times New Roman CYR" w:cs="Times New Roman CYR"/>
          <w:sz w:val="24"/>
          <w:szCs w:val="24"/>
        </w:rPr>
        <w:t>олютна залежнiсть вiд галузi будiвництва.</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Опис ризикiв, як притаманнi дiяльностi особи, пiдходи до управлiння ризиками, заходи особи щодо зменшення впливу ризикiв.</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Окреме Положення про "Системи внутрiшнього контролю i управлiння ризиками емiтента", яке</w:t>
      </w:r>
      <w:r>
        <w:rPr>
          <w:rFonts w:ascii="Times New Roman CYR" w:hAnsi="Times New Roman CYR" w:cs="Times New Roman CYR"/>
          <w:sz w:val="24"/>
          <w:szCs w:val="24"/>
        </w:rPr>
        <w:t xml:space="preserve"> б узагалюнювало в собi всi заходи контролю, якi здiйснюються в процесi господарської дiяльностi та пiдходи управлiнського персоналу до управлiння ризиками на Товариствi вiдсутнє. Керiвництво Товариства визнає, що дiяльнiсть Товариства пов'язана з ризиками</w:t>
      </w:r>
      <w:r>
        <w:rPr>
          <w:rFonts w:ascii="Times New Roman CYR" w:hAnsi="Times New Roman CYR" w:cs="Times New Roman CYR"/>
          <w:sz w:val="24"/>
          <w:szCs w:val="24"/>
        </w:rPr>
        <w:t xml:space="preserve"> i вартiсть чистих активiв у нестабiльному ринковому середовищi може суттєво змiнитись унаслiдок впливу суб'єктивних чинникiв та об'єктивних чинникiв, вiрогiднiсть i напрямок впливу яких заздалегiдь точно передбачити неможливо. До таких ризикiв вiднесено к</w:t>
      </w:r>
      <w:r>
        <w:rPr>
          <w:rFonts w:ascii="Times New Roman CYR" w:hAnsi="Times New Roman CYR" w:cs="Times New Roman CYR"/>
          <w:sz w:val="24"/>
          <w:szCs w:val="24"/>
        </w:rPr>
        <w:t>редитний ризик, ринковий ризик та ризик лiквiдностi. Ринковий ризик включає валютний ризик, вiдсотковий ризик та iнший цiновий ризик. Управлiння ризиками керiвництвом Товариства здiйснюється на основi розумiння причин виникнення ризику, кiлькiсної оцiнки й</w:t>
      </w:r>
      <w:r>
        <w:rPr>
          <w:rFonts w:ascii="Times New Roman CYR" w:hAnsi="Times New Roman CYR" w:cs="Times New Roman CYR"/>
          <w:sz w:val="24"/>
          <w:szCs w:val="24"/>
        </w:rPr>
        <w:t>ого можливого впливу на вартiсть чистих активiв та застосування iнструментарiю щодо його пом'якшення. Iншi ризики вiдстежуються i аналiзуються у кожному конкретному випадку.</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Стратегiя подальшої дiяльностi особи щонайменше на рiк (щодо розширення виробн</w:t>
      </w:r>
      <w:r>
        <w:rPr>
          <w:rFonts w:ascii="Times New Roman CYR" w:hAnsi="Times New Roman CYR" w:cs="Times New Roman CYR"/>
          <w:sz w:val="24"/>
          <w:szCs w:val="24"/>
        </w:rPr>
        <w:t>ицтва, реконструкцiї, полiпшення фiнансового стану, опис iстотних факторiв, якi можуть вплинути на дiяльнiсть особи в майбутньому).</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Планування дiяльностi товариства на перспективу стримується кризовим фiнансовим станом економiки в країнi, нестабiльнiстю цi</w:t>
      </w:r>
      <w:r>
        <w:rPr>
          <w:rFonts w:ascii="Times New Roman CYR" w:hAnsi="Times New Roman CYR" w:cs="Times New Roman CYR"/>
          <w:sz w:val="24"/>
          <w:szCs w:val="24"/>
        </w:rPr>
        <w:t>н на будiвельнi матерiали та вiдсутнiстю вiльких коштiв у товариства, а також початком вiйськового стану в країнi.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Основнi придбання або вiдчуження активiв за останнi п'ять рокiв, а також якщо плануються будь-якi значнi iнвестицiї або придбання, то так</w:t>
      </w:r>
      <w:r>
        <w:rPr>
          <w:rFonts w:ascii="Times New Roman CYR" w:hAnsi="Times New Roman CYR" w:cs="Times New Roman CYR"/>
          <w:sz w:val="24"/>
          <w:szCs w:val="24"/>
        </w:rPr>
        <w:t>ож необхiдно надати їх опис, включаючи суттєвi умови придбання або iнвестицiї, їх вартiсть i спосiб фiнансування.</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Придбано основних засобiв  у 2019 роцi - 1 665 тис. грн. в т.ч. машини та обладнання - 527 тис. грн., транспортнi засоби - 1 081 тис. грн., iн</w:t>
      </w:r>
      <w:r>
        <w:rPr>
          <w:rFonts w:ascii="Times New Roman CYR" w:hAnsi="Times New Roman CYR" w:cs="Times New Roman CYR"/>
          <w:sz w:val="24"/>
          <w:szCs w:val="24"/>
        </w:rPr>
        <w:t>струменти, прилади, iнвентар - 57 тис.грн.</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Придбано основних засобiв  у 2020 роцi - 3623,0 тис. грн.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Машини i механiзми: Ваги автомобiльнi  124 тис.грн., Багатофункцiональний пристрiй 8 тис.грн., МоноблокАзис 13 тис.грн., Новобук 9 тис.грн.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Транспорт: Мi</w:t>
      </w:r>
      <w:r>
        <w:rPr>
          <w:rFonts w:ascii="Times New Roman CYR" w:hAnsi="Times New Roman CYR" w:cs="Times New Roman CYR"/>
          <w:sz w:val="24"/>
          <w:szCs w:val="24"/>
        </w:rPr>
        <w:t>нi навантажувач ВОВСАТI530 1125 тис.грн., Фротальний навантажувач 1400 тис.грн.</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Iнвентар: Кондицiонер 2 шт. 26 тис.грн., Морозильна камера 5 тис.грн.</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Споруда: Резервуар сталевий 6 тис.грн.</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Капiталiзовано актив розкривних робiт  907,0 тис грн.</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Проведена Мод</w:t>
      </w:r>
      <w:r>
        <w:rPr>
          <w:rFonts w:ascii="Times New Roman CYR" w:hAnsi="Times New Roman CYR" w:cs="Times New Roman CYR"/>
          <w:sz w:val="24"/>
          <w:szCs w:val="24"/>
        </w:rPr>
        <w:t>ернiзацiя  основних засобiв на 5751,0 тис грн в т. ч. Машини та механiзми  4148 ;тис грн ; транспортнi засоби 1603,0 тис грн.</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2021 роцi придбання основних засобiв та капiтальнi полiпшення становили  - 15041 тис. грн. в т.ч. будiвлi та споруди - 4271 тис.</w:t>
      </w:r>
      <w:r>
        <w:rPr>
          <w:rFonts w:ascii="Times New Roman CYR" w:hAnsi="Times New Roman CYR" w:cs="Times New Roman CYR"/>
          <w:sz w:val="24"/>
          <w:szCs w:val="24"/>
        </w:rPr>
        <w:t xml:space="preserve">грн., машини та обладнання - 7822 тис. грн., транспортнi засоби - 2500 тис. грн., iнструменти, прилади, iнвентар - 448 тис.грн. У 2021 роцi вибуло основних засобiв на суму 3108 тис.грн., в т.ч. будiвлi та споруди - 43 тис.грн., машини та обладнання - 3062 </w:t>
      </w:r>
      <w:r>
        <w:rPr>
          <w:rFonts w:ascii="Times New Roman CYR" w:hAnsi="Times New Roman CYR" w:cs="Times New Roman CYR"/>
          <w:sz w:val="24"/>
          <w:szCs w:val="24"/>
        </w:rPr>
        <w:t>тис. грн., транспортнi засоби - 0 тис. грн., iнструменти, прилади, iнвентар - 3 тис.грн.</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Придбання основних засобiв та капiтальнi полiпшення у 2022 </w:t>
      </w:r>
      <w:r>
        <w:rPr>
          <w:rFonts w:ascii="Times New Roman CYR" w:hAnsi="Times New Roman CYR" w:cs="Times New Roman CYR"/>
          <w:sz w:val="24"/>
          <w:szCs w:val="24"/>
        </w:rPr>
        <w:t xml:space="preserve">роцi становили  - 86 тис. грн. в т.ч. будiвлi та споруди - 0 тис.грн., машини та обладнання - 86 тис. грн.(проведено полiпшення дробарки SVEDALA H-4000), транспортнi засоби - 0 тис. грн., iнструменти, прилади, iнвентар - 0 тис.грн. Вибуло основних засобiв </w:t>
      </w:r>
      <w:r>
        <w:rPr>
          <w:rFonts w:ascii="Times New Roman CYR" w:hAnsi="Times New Roman CYR" w:cs="Times New Roman CYR"/>
          <w:sz w:val="24"/>
          <w:szCs w:val="24"/>
        </w:rPr>
        <w:t>в результатi списання на  6 тис. грн. в т.ч. машини та обладнання - 6 тис.грн.( комп.ютер, монiтор, МФУ).</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Придбання основних засобiв та капiтальнi полiпшення у 2023 роцi становили  - 2026 тис. грн. в т.ч. будiвлi та споруди - 0 тис.грн., машини та обладнан</w:t>
      </w:r>
      <w:r>
        <w:rPr>
          <w:rFonts w:ascii="Times New Roman CYR" w:hAnsi="Times New Roman CYR" w:cs="Times New Roman CYR"/>
          <w:sz w:val="24"/>
          <w:szCs w:val="24"/>
        </w:rPr>
        <w:t>ня - 2026 тис. грн., транспортнi засоби - 0 тис. грн., iнструменти, прилади, iнвентар - 0 тис.грн. Вибуло основних засобiв 1063 тис. грн. в т.ч. транспортнi засоби - 1060 тис. грн., iнструменти, прилади, iнвентар - 3 тис.грн.</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Придбання основних засобiв та </w:t>
      </w:r>
      <w:r>
        <w:rPr>
          <w:rFonts w:ascii="Times New Roman CYR" w:hAnsi="Times New Roman CYR" w:cs="Times New Roman CYR"/>
          <w:sz w:val="24"/>
          <w:szCs w:val="24"/>
        </w:rPr>
        <w:t>капiтальнi полiпшення у 2023 роцi становили  - 2026 тис. грн. в т.ч. будiвлi та споруди - 0 тис.грн., машини та обладнання - 2026 тис. грн. (навантажувач одноковшовий фронтальний LiuGongCLG856H), транспортнi засоби - 0 тис. грн., iнструменти, прилади, iнве</w:t>
      </w:r>
      <w:r>
        <w:rPr>
          <w:rFonts w:ascii="Times New Roman CYR" w:hAnsi="Times New Roman CYR" w:cs="Times New Roman CYR"/>
          <w:sz w:val="24"/>
          <w:szCs w:val="24"/>
        </w:rPr>
        <w:t>нтар - 0 тис.грн. Вибуло основних засобiв 1063 тис. грн., в т.ч. транспортнi засоби - 1060 тис. грн., iнструменти, прилади, iнвентар - 3 тис.грн. А сам: комп'ютер, наноутбук, насос, транспортер стрiчковий 2 шт., дробилка КМДТ-2000, алконт 01-Су-U.</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Будь-якi</w:t>
      </w:r>
      <w:r>
        <w:rPr>
          <w:rFonts w:ascii="Times New Roman CYR" w:hAnsi="Times New Roman CYR" w:cs="Times New Roman CYR"/>
          <w:sz w:val="24"/>
          <w:szCs w:val="24"/>
        </w:rPr>
        <w:t xml:space="preserve"> додатковi значнi iнвестицiї або придбання, пов'язанi з господарською дiяльнiстю товариство не планує.</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засоби особи, включаючи об'єкти оренди та будь-якi значнi правочини особи щодо них; виробничi потужностi та ступiнь використання обладнання,</w:t>
      </w:r>
      <w:r>
        <w:rPr>
          <w:rFonts w:ascii="Times New Roman CYR" w:hAnsi="Times New Roman CYR" w:cs="Times New Roman CYR"/>
          <w:sz w:val="24"/>
          <w:szCs w:val="24"/>
        </w:rPr>
        <w:t xml:space="preserve"> спосiб утримання активiв, мiсцезнаходження основних засобiв.</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Балансова вартiсть основних засобiв вiдображена у фiнансовiй звiтностi за iсторичною собiвартiстю. Станом на 31.12.2023 року  вартiсть складає 31461 тис. грн., яка визначена як рiзниця мiж первi</w:t>
      </w:r>
      <w:r>
        <w:rPr>
          <w:rFonts w:ascii="Times New Roman CYR" w:hAnsi="Times New Roman CYR" w:cs="Times New Roman CYR"/>
          <w:sz w:val="24"/>
          <w:szCs w:val="24"/>
        </w:rPr>
        <w:t xml:space="preserve">сною вартiстю основних засобiв 125852 тис грн. та сумою нарахованого зносу 94391 тис. грн. Амортизацiя нарахована прямолiнiйним методом виходячи зi встановленого строку корисного використання об'єктiв. У 2023 роцi встановленi строки корисного використання </w:t>
      </w:r>
      <w:r>
        <w:rPr>
          <w:rFonts w:ascii="Times New Roman CYR" w:hAnsi="Times New Roman CYR" w:cs="Times New Roman CYR"/>
          <w:sz w:val="24"/>
          <w:szCs w:val="24"/>
        </w:rPr>
        <w:t>об'єктiв основних засобiв Пiдприємством не змiнювались. Амортизацiйнi вiдрахування за звiтний перiод - 3830 тис. грн. Станом на 31.12.2023 знос становить 75% первiсної вартостi основних засобiв.</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 грудня 2023  року до складу основних засобiв бул</w:t>
      </w:r>
      <w:r>
        <w:rPr>
          <w:rFonts w:ascii="Times New Roman CYR" w:hAnsi="Times New Roman CYR" w:cs="Times New Roman CYR"/>
          <w:sz w:val="24"/>
          <w:szCs w:val="24"/>
        </w:rPr>
        <w:t>и включенi повнiстю амортизованi активи iз первiсною вартiстю 18086 тисяч гривень. Станом на 31 грудня 2023 року основнi засоби, призначенi до продажу, вiдсутнi. Основнi засоби, що належать Пiдприємству на правi власностi вiдображенi у фiнансовiй звiтностi</w:t>
      </w:r>
      <w:r>
        <w:rPr>
          <w:rFonts w:ascii="Times New Roman CYR" w:hAnsi="Times New Roman CYR" w:cs="Times New Roman CYR"/>
          <w:sz w:val="24"/>
          <w:szCs w:val="24"/>
        </w:rPr>
        <w:t xml:space="preserve"> за переоцiненою балансовою вартiстю, що визначена вiдповiдно до МСФЗ, переоцiнка вiдображена у Фiнансовiй звiтностi станом на 31.12.2023 р.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Ознаки знецiнення основних засобiв станом на 31.12.2023 р. вiдсутнi, тому збитки вiд знецiнення, втрати вiд зменше</w:t>
      </w:r>
      <w:r>
        <w:rPr>
          <w:rFonts w:ascii="Times New Roman CYR" w:hAnsi="Times New Roman CYR" w:cs="Times New Roman CYR"/>
          <w:sz w:val="24"/>
          <w:szCs w:val="24"/>
        </w:rPr>
        <w:t>ння корисностi, уцiнки/переоцiнки у звiтному перiодi вiдсутнi. Основнi засоби належать Пiдприємству на правах власностi.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орендує наступнi земельнi дiлянки державної власностi для користування надрами та розмiщення вiдповiдної виробничої бази: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кiлькостi 12,2232 га на територiї Бiлкiвської сiльської ради Коростенського району Житомирської </w:t>
      </w:r>
      <w:r>
        <w:rPr>
          <w:rFonts w:ascii="Times New Roman CYR" w:hAnsi="Times New Roman CYR" w:cs="Times New Roman CYR"/>
          <w:sz w:val="24"/>
          <w:szCs w:val="24"/>
        </w:rPr>
        <w:lastRenderedPageBreak/>
        <w:t xml:space="preserve">областi, орендодавець Коростенська районна державна адмiнiстрацiя, договiр оренди земельної дiлянки вiд 01.10.2007, укладений на 30 рокiв;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- 133,9568 га н</w:t>
      </w:r>
      <w:r>
        <w:rPr>
          <w:rFonts w:ascii="Times New Roman CYR" w:hAnsi="Times New Roman CYR" w:cs="Times New Roman CYR"/>
          <w:sz w:val="24"/>
          <w:szCs w:val="24"/>
        </w:rPr>
        <w:t>а територiї Бондарiвської сiльської ради Коростенського району Житомирської областi, орендодавець -Коростенська РДА, договiр оренди земельної дiлянки вiд 01.10.2007, укладений строком  на 30 рокiв.</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вiдповiдностi з положеннями власної облiкової полiтики (</w:t>
      </w:r>
      <w:r>
        <w:rPr>
          <w:rFonts w:ascii="Times New Roman CYR" w:hAnsi="Times New Roman CYR" w:cs="Times New Roman CYR"/>
          <w:sz w:val="24"/>
          <w:szCs w:val="24"/>
        </w:rPr>
        <w:t>роздiл 5, пiдроздiл "Оренда") та вимогою параграфу 3 МСФЗ 16 "Оренда", Пiдприємство не застосовує МСФЗ 16 до зазначених договорiв оренди землi, що пов'язанi з використанням надр.</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Власної (викупленої) земельної дiлянки Пiдприємство не має.</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здає</w:t>
      </w:r>
      <w:r>
        <w:rPr>
          <w:rFonts w:ascii="Times New Roman CYR" w:hAnsi="Times New Roman CYR" w:cs="Times New Roman CYR"/>
          <w:sz w:val="24"/>
          <w:szCs w:val="24"/>
        </w:rPr>
        <w:t xml:space="preserve"> в операцiйну оренду:</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ПрАТ "ВФ Україна" частину даху будiвлi площею 20 кв.м, для встановлення базової станцiї мобiльного зв'язку, орендна плата складає 4200 грн./мiсяць;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ПрАТ "Київстар", дiлянку димової труби котельнi загальною площею 14,4 кв.м для вс</w:t>
      </w:r>
      <w:r>
        <w:rPr>
          <w:rFonts w:ascii="Times New Roman CYR" w:hAnsi="Times New Roman CYR" w:cs="Times New Roman CYR"/>
          <w:sz w:val="24"/>
          <w:szCs w:val="24"/>
        </w:rPr>
        <w:t>тановлення i експлуатацiї обладнання базової станцiї стiльникового зв'язку, орендна плата - 3000 грн./мiсяць;</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Вказана оренда об'єктiв класифiкується у вiдповiдностi до МСФЗ 16"Оренда", як операцiйна</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Товариства, крiм орендованих земельних дiл</w:t>
      </w:r>
      <w:r>
        <w:rPr>
          <w:rFonts w:ascii="Times New Roman CYR" w:hAnsi="Times New Roman CYR" w:cs="Times New Roman CYR"/>
          <w:sz w:val="24"/>
          <w:szCs w:val="24"/>
        </w:rPr>
        <w:t>янок, знаходяться за мiсцезнаходженням пiдприємства. Особливостей по екологiчних питаннях, якi б могли позначитися на використаннi активiв пiдприємства не спостерiгається. Iнформацiя щодо планiв капiтального будiвництва, розширення або удосконалення основн</w:t>
      </w:r>
      <w:r>
        <w:rPr>
          <w:rFonts w:ascii="Times New Roman CYR" w:hAnsi="Times New Roman CYR" w:cs="Times New Roman CYR"/>
          <w:sz w:val="24"/>
          <w:szCs w:val="24"/>
        </w:rPr>
        <w:t>их засобiв, характер та причини таких планiв, суми видаткiв, в тому числi вже зроблених, опис методу фiнансування, прогнознi дати початку та закiнчення дiяльностi та очiкуване зростання виробничих потужностей пiсля її завершення - вiдсутнi.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Проблеми, </w:t>
      </w:r>
      <w:r>
        <w:rPr>
          <w:rFonts w:ascii="Times New Roman CYR" w:hAnsi="Times New Roman CYR" w:cs="Times New Roman CYR"/>
          <w:sz w:val="24"/>
          <w:szCs w:val="24"/>
        </w:rPr>
        <w:t>якi впливають на дiяльнiсть особи, в тому числi ступiнь залежностi вiд законодавчих або економiчних обмежень.</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Внаслiдок ситуацiї, яка склалась в економiцi України та Свiту, а також результат економiчної нестабiльностi, iснує ймовiрнiсть того, що активи не </w:t>
      </w:r>
      <w:r>
        <w:rPr>
          <w:rFonts w:ascii="Times New Roman CYR" w:hAnsi="Times New Roman CYR" w:cs="Times New Roman CYR"/>
          <w:sz w:val="24"/>
          <w:szCs w:val="24"/>
        </w:rPr>
        <w:t>зможуть бути реалiзованi за їхньою балансовою вартiстю в ходi звичайної дiяльностi Пiдприємства. Ступiнь повернення цих активiв у значнiй мiрi залежить вiд ефективностi заходiв, якi знаходяться поза зоною контролю Пiдприємства, спрямованих рiзними країнами</w:t>
      </w:r>
      <w:r>
        <w:rPr>
          <w:rFonts w:ascii="Times New Roman CYR" w:hAnsi="Times New Roman CYR" w:cs="Times New Roman CYR"/>
          <w:sz w:val="24"/>
          <w:szCs w:val="24"/>
        </w:rPr>
        <w:t xml:space="preserve"> на досягнення економiчної стабiльностi та пожвавлення економiки. Нестабiльне полiтичне середовище несе загрози розвитку Пiдприємства, його зовнiшньоекономiчнiй дiяльностi. Негативний вплив на розвиток емiтента має погiршення мiжнародної та економiчної сит</w:t>
      </w:r>
      <w:r>
        <w:rPr>
          <w:rFonts w:ascii="Times New Roman CYR" w:hAnsi="Times New Roman CYR" w:cs="Times New Roman CYR"/>
          <w:sz w:val="24"/>
          <w:szCs w:val="24"/>
        </w:rPr>
        <w:t>уацiї в Українi викликане, зокрема, агресiєю росiйської федерацiї та запровадження вiйськового стану.</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Вартiсть укладених, але ще не виконаних договорiв (контрактiв) на кiнець звiтного перiоду (загальний пiдсумок) та очiкуванi прибутки вiд виконання ци</w:t>
      </w:r>
      <w:r>
        <w:rPr>
          <w:rFonts w:ascii="Times New Roman CYR" w:hAnsi="Times New Roman CYR" w:cs="Times New Roman CYR"/>
          <w:sz w:val="24"/>
          <w:szCs w:val="24"/>
        </w:rPr>
        <w:t>х договорiв (контрактiв).</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звiтного перiоду, Товариство не має укладених, але не виконаних договорiв.</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Середньооблiкова чисельнiсть штатних працiвникiв особи, середня чисельнiсть позаштатних працiвникiв та осiб, якi працюють за сумiсництвом, ч</w:t>
      </w:r>
      <w:r>
        <w:rPr>
          <w:rFonts w:ascii="Times New Roman CYR" w:hAnsi="Times New Roman CYR" w:cs="Times New Roman CYR"/>
          <w:sz w:val="24"/>
          <w:szCs w:val="24"/>
        </w:rPr>
        <w:t>исельнiсть працiвникiв, якi працюють на умовах неповного робочого часу (дня, тижня), розмiр фонду оплати працi. Крiм того, зазначається про факти змiни розмiру фонду оплати працi, його збiльшення або зменшення вiдносно попереднього року.</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чисельностi працiвникiв облiкового складу (осiб) - 91</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Середня численнiсть позаштатних працiвникiв та осiб, якi працюють за сумiсництвом (осiб) - 2</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Чисельностi працiвникiв, якi працюють на умовах неповного робочого часу (дня,тижня) (осiб) -</w:t>
      </w:r>
      <w:r>
        <w:rPr>
          <w:rFonts w:ascii="Times New Roman CYR" w:hAnsi="Times New Roman CYR" w:cs="Times New Roman CYR"/>
          <w:sz w:val="24"/>
          <w:szCs w:val="24"/>
        </w:rPr>
        <w:t xml:space="preserve"> 0</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Фонд оплати працi - 7475  тис.грн.</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Будь-якi пропозицiї щодо реорганiзацiї з боку третiх осiб, що мали мiсце протягом звiтного перiоду, умови та результати цих пропозицiй.</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звiтного перiоду до</w:t>
      </w:r>
      <w:r>
        <w:rPr>
          <w:rFonts w:ascii="Times New Roman CYR" w:hAnsi="Times New Roman CYR" w:cs="Times New Roman CYR"/>
          <w:sz w:val="24"/>
          <w:szCs w:val="24"/>
        </w:rPr>
        <w:t xml:space="preserve"> Товариства не надходили.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Iнша iнформацiя, яка може бути iстотною для оцiнки стейкхолдерами фiнансового стану та результатiв дiяльностi особи - немає iнформацiї.</w:t>
      </w: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w:t>
            </w:r>
            <w:r>
              <w:rPr>
                <w:rFonts w:ascii="Times New Roman CYR" w:hAnsi="Times New Roman CYR" w:cs="Times New Roman CYR"/>
              </w:rPr>
              <w:t>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33 062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31 461</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33 062</w:t>
            </w:r>
          </w:p>
        </w:tc>
        <w:tc>
          <w:tcPr>
            <w:tcW w:w="1082"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31 461</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6 708</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6 180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6 708</w:t>
            </w:r>
          </w:p>
        </w:tc>
        <w:tc>
          <w:tcPr>
            <w:tcW w:w="1082"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6 180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20 951</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20 959</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20 951</w:t>
            </w:r>
          </w:p>
        </w:tc>
        <w:tc>
          <w:tcPr>
            <w:tcW w:w="1082"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20 959</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2 593</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1 688</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2 593</w:t>
            </w:r>
          </w:p>
        </w:tc>
        <w:tc>
          <w:tcPr>
            <w:tcW w:w="1082"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1 688</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2 810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2 634</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2 810</w:t>
            </w:r>
          </w:p>
        </w:tc>
        <w:tc>
          <w:tcPr>
            <w:tcW w:w="1082"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2 634</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33 062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31 461</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33 062</w:t>
            </w:r>
          </w:p>
        </w:tc>
        <w:tc>
          <w:tcPr>
            <w:tcW w:w="1082"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31 461</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Первiсна вартiсть ОЗ на кiнець звiтного року - 125852 тис. грн., знос - 94391 тис. грн., ступiнь зносу - 75%, ступiнь використання ОЗ - 25%. Амортизацiйнi вiдрахування за звiтний перiод - 3830 тис. грн. Станом</w:t>
            </w:r>
            <w:r>
              <w:rPr>
                <w:rFonts w:ascii="Times New Roman CYR" w:hAnsi="Times New Roman CYR" w:cs="Times New Roman CYR"/>
              </w:rPr>
              <w:t xml:space="preserve"> на 31 грудня 2023  року до складу основних засобiв були включенi повнiстю амортизованi активи iз первiсною вартiстю 18086 тисяч гривень .</w:t>
            </w:r>
          </w:p>
          <w:p w:rsidR="00000000" w:rsidRDefault="00A168C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Придбання основних засобiв та капiтальнi полiпшення у 2023 роцi становили  - 2026 тис. грн. в т.ч. будiвлi та споруди - 0 тис.грн., машини та обладнання - 2026 тис. грн., транспортнi засоби - 0 тис. грн., iнструменти, прилади, iнвентар - 0 тис.грн. Вибуло </w:t>
            </w:r>
            <w:r>
              <w:rPr>
                <w:rFonts w:ascii="Times New Roman CYR" w:hAnsi="Times New Roman CYR" w:cs="Times New Roman CYR"/>
              </w:rPr>
              <w:t>основних засобiв 1063 тис. грн. в т.ч. транспортнi засоби - 1060 тис. грн., iнструменти, прилади, iнвентар - 3 тис.грн.</w:t>
            </w:r>
          </w:p>
          <w:p w:rsidR="00000000" w:rsidRDefault="00A168C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Товариства використовуються для здiйснення його статутної дiяльностi.</w:t>
            </w:r>
          </w:p>
          <w:p w:rsidR="00000000" w:rsidRDefault="00A168C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Станом на 31 грудня 2023 року основнi засоби, призн</w:t>
            </w:r>
            <w:r>
              <w:rPr>
                <w:rFonts w:ascii="Times New Roman CYR" w:hAnsi="Times New Roman CYR" w:cs="Times New Roman CYR"/>
              </w:rPr>
              <w:t>аченi до продажу, вiдсутнi.</w:t>
            </w:r>
          </w:p>
          <w:p w:rsidR="00000000" w:rsidRDefault="00A168C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Основнi засоби належать Пiдприємству на правах власностi (крiм об'єктiв, отриманих на умовах фiнансового лiзингу у тимчасове володiння i користування, право власностi належить лiзингодавцю). </w:t>
            </w:r>
          </w:p>
          <w:p w:rsidR="00000000" w:rsidRDefault="00A168C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Станом на 31.12.2023 р. по Пiдприємс</w:t>
            </w:r>
            <w:r>
              <w:rPr>
                <w:rFonts w:ascii="Times New Roman CYR" w:hAnsi="Times New Roman CYR" w:cs="Times New Roman CYR"/>
              </w:rPr>
              <w:t>тву вiдсутнi основнi засоби, щодо яких iснує обмеження права власностi.</w:t>
            </w:r>
          </w:p>
        </w:tc>
      </w:tr>
    </w:tbl>
    <w:p w:rsidR="00000000" w:rsidRDefault="00A168CC">
      <w:pPr>
        <w:widowControl w:val="0"/>
        <w:autoSpaceDE w:val="0"/>
        <w:autoSpaceDN w:val="0"/>
        <w:adjustRightInd w:val="0"/>
        <w:spacing w:after="0" w:line="240" w:lineRule="auto"/>
        <w:rPr>
          <w:rFonts w:ascii="Times New Roman CYR" w:hAnsi="Times New Roman CYR" w:cs="Times New Roman CYR"/>
        </w:rPr>
      </w:pPr>
    </w:p>
    <w:p w:rsidR="00000000" w:rsidRDefault="00A168C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12 817</w:t>
            </w:r>
          </w:p>
        </w:tc>
        <w:tc>
          <w:tcPr>
            <w:tcW w:w="3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27 995</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3 604</w:t>
            </w:r>
          </w:p>
        </w:tc>
        <w:tc>
          <w:tcPr>
            <w:tcW w:w="3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3 604</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3 604</w:t>
            </w:r>
          </w:p>
        </w:tc>
        <w:tc>
          <w:tcPr>
            <w:tcW w:w="3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3 604</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w:t>
            </w:r>
          </w:p>
        </w:tc>
        <w:tc>
          <w:tcPr>
            <w:tcW w:w="3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777</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Співвідношення (у відсотках) вартості чистих активів особи за звітний період до вартості чистих активів за </w:t>
            </w:r>
            <w:r>
              <w:rPr>
                <w:rFonts w:ascii="Times New Roman CYR" w:hAnsi="Times New Roman CYR" w:cs="Times New Roman CYR"/>
              </w:rPr>
              <w:lastRenderedPageBreak/>
              <w:t>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46</w:t>
            </w:r>
          </w:p>
        </w:tc>
        <w:tc>
          <w:tcPr>
            <w:tcW w:w="3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Висновок</w:t>
            </w:r>
          </w:p>
        </w:tc>
        <w:tc>
          <w:tcPr>
            <w:tcW w:w="8740" w:type="dxa"/>
            <w:gridSpan w:val="3"/>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вартостi чистих активiв ПрАТ "Ушицький комбiнат будiвельних матерiалiв" за звiтний та попереднiй</w:t>
            </w:r>
            <w:r>
              <w:rPr>
                <w:rFonts w:ascii="Times New Roman CYR" w:hAnsi="Times New Roman CYR" w:cs="Times New Roman CYR"/>
              </w:rPr>
              <w:t xml:space="preserve"> роки проводиться на пiдставi Рiшення Державної комiсiї з цiнних паперiв та фондового ринку №485 вiд 17.11.2004р. "Про схвалення Методичних рекомендацiй щодо визначення вартостi чистих активiв акцiонерних товариств". Пiд вартiстю чистих активiв акцiонерног</w:t>
            </w:r>
            <w:r>
              <w:rPr>
                <w:rFonts w:ascii="Times New Roman CYR" w:hAnsi="Times New Roman CYR" w:cs="Times New Roman CYR"/>
              </w:rPr>
              <w:t>о товариства розумiється величина, яка визначається шляхом вирахуванням iз суми активiв, прийнятих до розрахунку, суми його зобов'язань, прийнятих до розрахунку.</w:t>
            </w:r>
          </w:p>
          <w:p w:rsidR="00000000" w:rsidRDefault="00A168C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Станом на 31.12.2023 року, вартiсть чистих активiв акцiонерного товариства (активи товариства </w:t>
            </w:r>
            <w:r>
              <w:rPr>
                <w:rFonts w:ascii="Times New Roman CYR" w:hAnsi="Times New Roman CYR" w:cs="Times New Roman CYR"/>
              </w:rPr>
              <w:t>за мiнусом його зобов'язань) перевищує розмiр статутного капiталу, що вiдповiдає статтi 155 Цивiльного кодексу України.</w:t>
            </w:r>
          </w:p>
          <w:p w:rsidR="00000000" w:rsidRDefault="00A168CC">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A168CC">
      <w:pPr>
        <w:widowControl w:val="0"/>
        <w:autoSpaceDE w:val="0"/>
        <w:autoSpaceDN w:val="0"/>
        <w:adjustRightInd w:val="0"/>
        <w:spacing w:after="0" w:line="240" w:lineRule="auto"/>
        <w:rPr>
          <w:rFonts w:ascii="Times New Roman CYR" w:hAnsi="Times New Roman CYR" w:cs="Times New Roman CYR"/>
        </w:rPr>
      </w:pPr>
    </w:p>
    <w:p w:rsidR="00000000" w:rsidRDefault="00A168C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w:t>
            </w:r>
            <w:r>
              <w:rPr>
                <w:rFonts w:ascii="Times New Roman CYR" w:hAnsi="Times New Roman CYR" w:cs="Times New Roman CYR"/>
              </w:rPr>
              <w:t>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189</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розрахунками з бюджетом</w:t>
            </w:r>
          </w:p>
        </w:tc>
        <w:tc>
          <w:tcPr>
            <w:tcW w:w="144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189</w:t>
            </w:r>
          </w:p>
        </w:tc>
        <w:tc>
          <w:tcPr>
            <w:tcW w:w="194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78 710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Iншi довгостроковi зобов'язання</w:t>
            </w:r>
          </w:p>
        </w:tc>
        <w:tc>
          <w:tcPr>
            <w:tcW w:w="144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6 245</w:t>
            </w:r>
          </w:p>
        </w:tc>
        <w:tc>
          <w:tcPr>
            <w:tcW w:w="194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Довгостроковi забезпечення (резерв на рекультивацiю земель та кар'єру)</w:t>
            </w:r>
          </w:p>
        </w:tc>
        <w:tc>
          <w:tcPr>
            <w:tcW w:w="144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4 648</w:t>
            </w:r>
          </w:p>
        </w:tc>
        <w:tc>
          <w:tcPr>
            <w:tcW w:w="194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товари, роботи, послуги</w:t>
            </w:r>
          </w:p>
        </w:tc>
        <w:tc>
          <w:tcPr>
            <w:tcW w:w="144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35 071</w:t>
            </w:r>
          </w:p>
        </w:tc>
        <w:tc>
          <w:tcPr>
            <w:tcW w:w="194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розрахунками з оплати працi</w:t>
            </w:r>
          </w:p>
        </w:tc>
        <w:tc>
          <w:tcPr>
            <w:tcW w:w="144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2 874</w:t>
            </w:r>
          </w:p>
        </w:tc>
        <w:tc>
          <w:tcPr>
            <w:tcW w:w="194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Поточнi забезпечення</w:t>
            </w:r>
          </w:p>
        </w:tc>
        <w:tc>
          <w:tcPr>
            <w:tcW w:w="144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2 697</w:t>
            </w:r>
          </w:p>
        </w:tc>
        <w:tc>
          <w:tcPr>
            <w:tcW w:w="194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Iншi поточнi зобов'язання</w:t>
            </w:r>
          </w:p>
        </w:tc>
        <w:tc>
          <w:tcPr>
            <w:tcW w:w="144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27 175</w:t>
            </w:r>
          </w:p>
        </w:tc>
        <w:tc>
          <w:tcPr>
            <w:tcW w:w="194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розрахунками зi страхування</w:t>
            </w:r>
          </w:p>
        </w:tc>
        <w:tc>
          <w:tcPr>
            <w:tcW w:w="144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78 899</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000000" w:rsidRDefault="00A168CC">
      <w:pPr>
        <w:widowControl w:val="0"/>
        <w:autoSpaceDE w:val="0"/>
        <w:autoSpaceDN w:val="0"/>
        <w:adjustRightInd w:val="0"/>
        <w:spacing w:after="0" w:line="240" w:lineRule="auto"/>
        <w:rPr>
          <w:rFonts w:ascii="Times New Roman CYR" w:hAnsi="Times New Roman CYR" w:cs="Times New Roman CYR"/>
        </w:rPr>
      </w:pPr>
    </w:p>
    <w:p w:rsidR="00000000" w:rsidRDefault="00A168CC">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про обсяги виробництва та реалізації основних видів продукції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500"/>
        <w:gridCol w:w="2000"/>
        <w:gridCol w:w="2000"/>
        <w:gridCol w:w="2200"/>
        <w:gridCol w:w="2000"/>
        <w:gridCol w:w="2000"/>
        <w:gridCol w:w="2200"/>
      </w:tblGrid>
      <w:tr w:rsidR="00000000">
        <w:tblPrEx>
          <w:tblCellMar>
            <w:top w:w="0" w:type="dxa"/>
            <w:bottom w:w="0" w:type="dxa"/>
          </w:tblCellMar>
        </w:tblPrEx>
        <w:trPr>
          <w:trHeight w:val="200"/>
        </w:trPr>
        <w:tc>
          <w:tcPr>
            <w:tcW w:w="500" w:type="dxa"/>
            <w:vMerge w:val="restart"/>
            <w:tcBorders>
              <w:top w:val="single" w:sz="6" w:space="0" w:color="auto"/>
              <w:bottom w:val="nil"/>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Основний вид продукції</w:t>
            </w:r>
          </w:p>
        </w:tc>
        <w:tc>
          <w:tcPr>
            <w:tcW w:w="6200" w:type="dxa"/>
            <w:gridSpan w:val="3"/>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Обсяг виробництва</w:t>
            </w:r>
          </w:p>
        </w:tc>
        <w:tc>
          <w:tcPr>
            <w:tcW w:w="6200" w:type="dxa"/>
            <w:gridSpan w:val="3"/>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Обсяг реалізованої продукції</w:t>
            </w:r>
          </w:p>
        </w:tc>
      </w:tr>
      <w:tr w:rsidR="00000000">
        <w:tblPrEx>
          <w:tblCellMar>
            <w:top w:w="0" w:type="dxa"/>
            <w:bottom w:w="0" w:type="dxa"/>
          </w:tblCellMar>
        </w:tblPrEx>
        <w:trPr>
          <w:trHeight w:val="200"/>
        </w:trPr>
        <w:tc>
          <w:tcPr>
            <w:tcW w:w="500" w:type="dxa"/>
            <w:vMerge/>
            <w:tcBorders>
              <w:top w:val="nil"/>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натуральній формі (фізична одиниця виміру)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грошовій формі, тис.грн</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відсотках до всієї виробленої продукції</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натуральній формі (фізична одиниця виміру)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у грошовій формі, тис.грн</w:t>
            </w:r>
          </w:p>
        </w:tc>
        <w:tc>
          <w:tcPr>
            <w:tcW w:w="220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відсотках до всієї реалізованої продукції</w:t>
            </w:r>
          </w:p>
        </w:tc>
      </w:tr>
      <w:tr w:rsidR="00000000">
        <w:tblPrEx>
          <w:tblCellMar>
            <w:top w:w="0" w:type="dxa"/>
            <w:left w:w="28" w:type="dxa"/>
            <w:bottom w:w="0" w:type="dxa"/>
            <w:right w:w="28"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20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left w:w="28" w:type="dxa"/>
            <w:bottom w:w="0" w:type="dxa"/>
            <w:right w:w="28" w:type="dxa"/>
          </w:tblCellMar>
        </w:tblPrEx>
        <w:trPr>
          <w:trHeight w:val="300"/>
        </w:trPr>
        <w:tc>
          <w:tcPr>
            <w:tcW w:w="5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Щебiнь фракцiйний</w:t>
            </w:r>
          </w:p>
        </w:tc>
        <w:tc>
          <w:tcPr>
            <w:tcW w:w="20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 тис.т</w:t>
            </w:r>
          </w:p>
        </w:tc>
        <w:tc>
          <w:tcPr>
            <w:tcW w:w="20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5237</w:t>
            </w:r>
          </w:p>
        </w:tc>
        <w:tc>
          <w:tcPr>
            <w:tcW w:w="2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w:t>
            </w:r>
          </w:p>
        </w:tc>
        <w:tc>
          <w:tcPr>
            <w:tcW w:w="20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122 тис.т</w:t>
            </w:r>
          </w:p>
        </w:tc>
        <w:tc>
          <w:tcPr>
            <w:tcW w:w="20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11150</w:t>
            </w:r>
          </w:p>
        </w:tc>
        <w:tc>
          <w:tcPr>
            <w:tcW w:w="22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40,6</w:t>
            </w:r>
          </w:p>
        </w:tc>
      </w:tr>
      <w:tr w:rsidR="00000000">
        <w:tblPrEx>
          <w:tblCellMar>
            <w:top w:w="0" w:type="dxa"/>
            <w:left w:w="28" w:type="dxa"/>
            <w:bottom w:w="0" w:type="dxa"/>
            <w:right w:w="28" w:type="dxa"/>
          </w:tblCellMar>
        </w:tblPrEx>
        <w:trPr>
          <w:trHeight w:val="300"/>
        </w:trPr>
        <w:tc>
          <w:tcPr>
            <w:tcW w:w="5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Вiдшкодування транспортних послуг (залiзничний тариф)</w:t>
            </w:r>
          </w:p>
        </w:tc>
        <w:tc>
          <w:tcPr>
            <w:tcW w:w="20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12041 тис.грн</w:t>
            </w:r>
          </w:p>
        </w:tc>
        <w:tc>
          <w:tcPr>
            <w:tcW w:w="20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12041</w:t>
            </w:r>
          </w:p>
        </w:tc>
        <w:tc>
          <w:tcPr>
            <w:tcW w:w="22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43,8</w:t>
            </w:r>
          </w:p>
        </w:tc>
      </w:tr>
      <w:tr w:rsidR="00000000">
        <w:tblPrEx>
          <w:tblCellMar>
            <w:top w:w="0" w:type="dxa"/>
            <w:left w:w="28" w:type="dxa"/>
            <w:bottom w:w="0" w:type="dxa"/>
            <w:right w:w="28" w:type="dxa"/>
          </w:tblCellMar>
        </w:tblPrEx>
        <w:trPr>
          <w:trHeight w:val="300"/>
        </w:trPr>
        <w:tc>
          <w:tcPr>
            <w:tcW w:w="5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5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Виручка вiд реалiзацiї послуг</w:t>
            </w:r>
          </w:p>
        </w:tc>
        <w:tc>
          <w:tcPr>
            <w:tcW w:w="20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4284 тис.грн</w:t>
            </w:r>
          </w:p>
        </w:tc>
        <w:tc>
          <w:tcPr>
            <w:tcW w:w="20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4284</w:t>
            </w:r>
          </w:p>
        </w:tc>
        <w:tc>
          <w:tcPr>
            <w:tcW w:w="2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c>
          <w:tcPr>
            <w:tcW w:w="20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4284 тис.грн</w:t>
            </w:r>
          </w:p>
        </w:tc>
        <w:tc>
          <w:tcPr>
            <w:tcW w:w="20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4284</w:t>
            </w:r>
          </w:p>
        </w:tc>
        <w:tc>
          <w:tcPr>
            <w:tcW w:w="22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w:t>
            </w:r>
          </w:p>
        </w:tc>
      </w:tr>
    </w:tbl>
    <w:p w:rsidR="00000000" w:rsidRDefault="00A168CC">
      <w:pPr>
        <w:widowControl w:val="0"/>
        <w:autoSpaceDE w:val="0"/>
        <w:autoSpaceDN w:val="0"/>
        <w:adjustRightInd w:val="0"/>
        <w:spacing w:after="0" w:line="240" w:lineRule="auto"/>
        <w:rPr>
          <w:rFonts w:ascii="Times New Roman CYR" w:hAnsi="Times New Roman CYR" w:cs="Times New Roman CYR"/>
        </w:rPr>
      </w:pPr>
    </w:p>
    <w:p w:rsidR="00000000" w:rsidRDefault="00A168CC">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570" w:right="720" w:bottom="570" w:left="720" w:header="720" w:footer="720" w:gutter="0"/>
          <w:cols w:space="720"/>
          <w:noEndnote/>
        </w:sectPr>
      </w:pP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про собівартість реалізованої продукції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620"/>
        <w:gridCol w:w="3300"/>
        <w:gridCol w:w="5900"/>
      </w:tblGrid>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Склад витрат</w:t>
            </w:r>
          </w:p>
        </w:tc>
        <w:tc>
          <w:tcPr>
            <w:tcW w:w="590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від загальної собівартості реалізованої продукції (у відсотках)</w:t>
            </w:r>
          </w:p>
        </w:tc>
      </w:tr>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590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Виручка вiд реалiзацiї власної щебеневої продукцiї</w:t>
            </w:r>
          </w:p>
        </w:tc>
        <w:tc>
          <w:tcPr>
            <w:tcW w:w="59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w:t>
            </w:r>
          </w:p>
        </w:tc>
      </w:tr>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Вiдшкодування транспортних послуг (залiзничний тариф)</w:t>
            </w:r>
          </w:p>
        </w:tc>
        <w:tc>
          <w:tcPr>
            <w:tcW w:w="59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w:t>
            </w:r>
          </w:p>
        </w:tc>
      </w:tr>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Виручка вiд реалiзацiї послуг</w:t>
            </w:r>
          </w:p>
        </w:tc>
        <w:tc>
          <w:tcPr>
            <w:tcW w:w="59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bl>
    <w:p w:rsidR="00000000" w:rsidRDefault="00A168CC">
      <w:pPr>
        <w:widowControl w:val="0"/>
        <w:autoSpaceDE w:val="0"/>
        <w:autoSpaceDN w:val="0"/>
        <w:adjustRightInd w:val="0"/>
        <w:spacing w:after="0" w:line="240" w:lineRule="auto"/>
        <w:rPr>
          <w:rFonts w:ascii="Times New Roman CYR" w:hAnsi="Times New Roman CYR" w:cs="Times New Roman CYR"/>
        </w:rPr>
      </w:pPr>
    </w:p>
    <w:p w:rsidR="00000000" w:rsidRDefault="00A168C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Київська обл., м. Київ, вул.Тропiнiна 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0443630400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w:t>
            </w:r>
            <w:r>
              <w:rPr>
                <w:rFonts w:ascii="Times New Roman CYR" w:hAnsi="Times New Roman CYR" w:cs="Times New Roman CYR"/>
              </w:rPr>
              <w:t>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A168CC">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w:t>
            </w:r>
            <w:r>
              <w:rPr>
                <w:rFonts w:ascii="Times New Roman CYR" w:hAnsi="Times New Roman CYR" w:cs="Times New Roman CYR"/>
              </w:rPr>
              <w:t>адання iнформацiйних послуг на фондовому ринку</w:t>
            </w:r>
          </w:p>
        </w:tc>
      </w:tr>
    </w:tbl>
    <w:p w:rsidR="00000000" w:rsidRDefault="00A168CC">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РНОКПП</w:t>
            </w:r>
          </w:p>
        </w:tc>
        <w:tc>
          <w:tcPr>
            <w:tcW w:w="4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A168CC">
      <w:pPr>
        <w:widowControl w:val="0"/>
        <w:autoSpaceDE w:val="0"/>
        <w:autoSpaceDN w:val="0"/>
        <w:adjustRightInd w:val="0"/>
        <w:spacing w:after="0" w:line="240" w:lineRule="auto"/>
        <w:rPr>
          <w:rFonts w:ascii="Times New Roman CYR" w:hAnsi="Times New Roman CYR" w:cs="Times New Roman CYR"/>
        </w:rPr>
      </w:pPr>
    </w:p>
    <w:p w:rsidR="00000000" w:rsidRDefault="00A168CC">
      <w:pPr>
        <w:widowControl w:val="0"/>
        <w:autoSpaceDE w:val="0"/>
        <w:autoSpaceDN w:val="0"/>
        <w:adjustRightInd w:val="0"/>
        <w:spacing w:after="0" w:line="240" w:lineRule="auto"/>
        <w:rPr>
          <w:rFonts w:ascii="Times New Roman CYR" w:hAnsi="Times New Roman CYR" w:cs="Times New Roman CYR"/>
        </w:rPr>
      </w:pPr>
    </w:p>
    <w:p w:rsidR="00000000" w:rsidRDefault="00A168CC">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A168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Облік часток </w:t>
            </w:r>
            <w:r>
              <w:rPr>
                <w:rFonts w:ascii="Times New Roman CYR" w:hAnsi="Times New Roman CYR" w:cs="Times New Roman CYR"/>
              </w:rPr>
              <w:t>особи в обліковій системі часток</w:t>
            </w:r>
          </w:p>
        </w:tc>
      </w:tr>
      <w:tr w:rsidR="00000000">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Простi iменнi</w:t>
            </w:r>
          </w:p>
        </w:tc>
        <w:tc>
          <w:tcPr>
            <w:tcW w:w="20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02/06/1/10</w:t>
            </w:r>
          </w:p>
        </w:tc>
        <w:tc>
          <w:tcPr>
            <w:tcW w:w="20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14 414 776</w:t>
            </w:r>
          </w:p>
        </w:tc>
        <w:tc>
          <w:tcPr>
            <w:tcW w:w="19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20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Товариства мають право: </w:t>
            </w:r>
          </w:p>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брати участь в управлiннi Товариством особисто або через представника.</w:t>
            </w:r>
          </w:p>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обиратися та бути обраним до Наглядової ради та iнших органiв Товариства.</w:t>
            </w:r>
          </w:p>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брати участь у розподiлi прибутку Товариства та отримувати його частку (дивiденди). </w:t>
            </w:r>
          </w:p>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отримати у разi лiквiдацiї Товариства частину його майна або вартостi частини майна Товарис</w:t>
            </w:r>
            <w:r>
              <w:rPr>
                <w:rFonts w:ascii="Times New Roman CYR" w:hAnsi="Times New Roman CYR" w:cs="Times New Roman CYR"/>
              </w:rPr>
              <w:t xml:space="preserve">тва. </w:t>
            </w:r>
          </w:p>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отримувати iнформацiю про господарську дiяльнiсть Товариства. </w:t>
            </w:r>
          </w:p>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вимагати </w:t>
            </w:r>
            <w:r>
              <w:rPr>
                <w:rFonts w:ascii="Times New Roman CYR" w:hAnsi="Times New Roman CYR" w:cs="Times New Roman CYR"/>
              </w:rPr>
              <w:lastRenderedPageBreak/>
              <w:t>здiйснення обов'язкового викупу Товариством належних їм акцiй у випадках, передбачених чинним законодавством України.</w:t>
            </w:r>
          </w:p>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вiдчужувати належнi їм акцiї, у порядку, встановленому</w:t>
            </w:r>
            <w:r>
              <w:rPr>
                <w:rFonts w:ascii="Times New Roman CYR" w:hAnsi="Times New Roman CYR" w:cs="Times New Roman CYR"/>
              </w:rPr>
              <w:t xml:space="preserve"> чинним законодавством та Статутом.</w:t>
            </w:r>
          </w:p>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Власник простих акцiй Товариства має право вимагати здiйснення обов'язкового викупу Товариством належних йому простих акцiй, якщо вiн зареєструвався для участi у загальних зборах акцiонерiв Товариства  та голосував проти</w:t>
            </w:r>
            <w:r>
              <w:rPr>
                <w:rFonts w:ascii="Times New Roman CYR" w:hAnsi="Times New Roman CYR" w:cs="Times New Roman CYR"/>
              </w:rPr>
              <w:t xml:space="preserve"> прийняття Загальними зборами рiшення про: </w:t>
            </w:r>
          </w:p>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злиття, приєднання, подiл, перетворення, видiл Товариства, змiну типу </w:t>
            </w:r>
            <w:r>
              <w:rPr>
                <w:rFonts w:ascii="Times New Roman CYR" w:hAnsi="Times New Roman CYR" w:cs="Times New Roman CYR"/>
              </w:rPr>
              <w:lastRenderedPageBreak/>
              <w:t xml:space="preserve">Товариства; </w:t>
            </w:r>
          </w:p>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надання згоди на вчинення Товариством значних правочинiв; </w:t>
            </w:r>
          </w:p>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надання згоди на вчинення Товариством правочину, щодо якого є за</w:t>
            </w:r>
            <w:r>
              <w:rPr>
                <w:rFonts w:ascii="Times New Roman CYR" w:hAnsi="Times New Roman CYR" w:cs="Times New Roman CYR"/>
              </w:rPr>
              <w:t>iнтересованiсть;</w:t>
            </w:r>
          </w:p>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змiну розмiру статутного капiталу Товариства;</w:t>
            </w:r>
          </w:p>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вiдмову вiд використання переважного права акцiонера на придбання акцiй додаткової емiсiї у процесi їх розмiщення.</w:t>
            </w:r>
          </w:p>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зобов'язанi:</w:t>
            </w:r>
          </w:p>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дотримуватися Статуту, iнших внутрiшнi</w:t>
            </w:r>
            <w:r>
              <w:rPr>
                <w:rFonts w:ascii="Times New Roman CYR" w:hAnsi="Times New Roman CYR" w:cs="Times New Roman CYR"/>
              </w:rPr>
              <w:t xml:space="preserve">х документiв Товариства. </w:t>
            </w:r>
          </w:p>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виконувати рiшення Загальних зборiв, iнших органiв Товариства. </w:t>
            </w:r>
          </w:p>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виконувати свої зобов'язання перед Товариством, у тому числi пов'язанi з </w:t>
            </w:r>
            <w:r>
              <w:rPr>
                <w:rFonts w:ascii="Times New Roman CYR" w:hAnsi="Times New Roman CYR" w:cs="Times New Roman CYR"/>
              </w:rPr>
              <w:lastRenderedPageBreak/>
              <w:t>майновою участю.</w:t>
            </w:r>
          </w:p>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оплачувати акцiї у розмiрi, в порядку та засобами, що передбаченi Стат</w:t>
            </w:r>
            <w:r>
              <w:rPr>
                <w:rFonts w:ascii="Times New Roman CYR" w:hAnsi="Times New Roman CYR" w:cs="Times New Roman CYR"/>
              </w:rPr>
              <w:t xml:space="preserve">утом Товариства. </w:t>
            </w:r>
          </w:p>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не розголошувати комерцiйну таємницю та конфiденцiйну iнформацiю про дiяльнiсть Товариства. </w:t>
            </w:r>
          </w:p>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нести iншi обов'язки, передбаченi чинним законодавством України та Статутом.</w:t>
            </w:r>
          </w:p>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Публiчної пропозицiї та допуску до торгiв на фондовiй бiржi не </w:t>
            </w:r>
            <w:r>
              <w:rPr>
                <w:rFonts w:ascii="Times New Roman CYR" w:hAnsi="Times New Roman CYR" w:cs="Times New Roman CYR"/>
              </w:rPr>
              <w:t>має, до бiржового реєстру не включенi</w:t>
            </w:r>
          </w:p>
        </w:tc>
        <w:tc>
          <w:tcPr>
            <w:tcW w:w="3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Особа не є товариством з обмеженою або додатковою вiдповiдальнiстю.</w:t>
            </w:r>
          </w:p>
        </w:tc>
      </w:tr>
    </w:tbl>
    <w:p w:rsidR="00000000" w:rsidRDefault="00A168CC">
      <w:pPr>
        <w:widowControl w:val="0"/>
        <w:autoSpaceDE w:val="0"/>
        <w:autoSpaceDN w:val="0"/>
        <w:adjustRightInd w:val="0"/>
        <w:spacing w:after="0" w:line="240" w:lineRule="auto"/>
        <w:rPr>
          <w:rFonts w:ascii="Times New Roman CYR" w:hAnsi="Times New Roman CYR" w:cs="Times New Roman CYR"/>
        </w:rPr>
      </w:pP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Найменування органу, що </w:t>
            </w:r>
            <w:r>
              <w:rPr>
                <w:rFonts w:ascii="Times New Roman CYR" w:hAnsi="Times New Roman CYR" w:cs="Times New Roman CYR"/>
              </w:rPr>
              <w:t>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30.04.2010</w:t>
            </w:r>
          </w:p>
        </w:tc>
        <w:tc>
          <w:tcPr>
            <w:tcW w:w="13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02/06/1/10</w:t>
            </w:r>
          </w:p>
        </w:tc>
        <w:tc>
          <w:tcPr>
            <w:tcW w:w="24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Житомирське територiальне управлiння ДК ЦПФР</w:t>
            </w:r>
          </w:p>
        </w:tc>
        <w:tc>
          <w:tcPr>
            <w:tcW w:w="17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UA4000070395</w:t>
            </w:r>
          </w:p>
        </w:tc>
        <w:tc>
          <w:tcPr>
            <w:tcW w:w="16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14 414 776</w:t>
            </w:r>
          </w:p>
        </w:tc>
        <w:tc>
          <w:tcPr>
            <w:tcW w:w="14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3 603 694</w:t>
            </w:r>
          </w:p>
        </w:tc>
        <w:tc>
          <w:tcPr>
            <w:tcW w:w="17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 звiтн</w:t>
            </w:r>
            <w:r>
              <w:rPr>
                <w:rFonts w:ascii="Times New Roman CYR" w:hAnsi="Times New Roman CYR" w:cs="Times New Roman CYR"/>
              </w:rPr>
              <w:t xml:space="preserve">ому роцi Товариство цiннi папери не випускало, рiшення про їх випуск не приймало. Цiннi папери Емiтента на органiзацiйно оформлених ринках не обертаються. Заяви для включення цiнних паперiв до лiстингу Емiтентом не надавались. Обiг цiнних паперiв Емiтента </w:t>
            </w:r>
            <w:r>
              <w:rPr>
                <w:rFonts w:ascii="Times New Roman CYR" w:hAnsi="Times New Roman CYR" w:cs="Times New Roman CYR"/>
              </w:rPr>
              <w:t>здiйснюється лише на внутрiшньому ринку України. Iншi цiннi папери Товариством не випускались.</w:t>
            </w:r>
          </w:p>
          <w:p w:rsidR="00000000" w:rsidRDefault="00A168CC">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A168CC">
      <w:pPr>
        <w:widowControl w:val="0"/>
        <w:autoSpaceDE w:val="0"/>
        <w:autoSpaceDN w:val="0"/>
        <w:adjustRightInd w:val="0"/>
        <w:spacing w:after="0" w:line="240" w:lineRule="auto"/>
        <w:rPr>
          <w:rFonts w:ascii="Times New Roman CYR" w:hAnsi="Times New Roman CYR" w:cs="Times New Roman CYR"/>
        </w:rPr>
      </w:pP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Кількість викуплених акцій (кількість </w:t>
            </w:r>
            <w:r>
              <w:rPr>
                <w:rFonts w:ascii="Times New Roman CYR" w:hAnsi="Times New Roman CYR" w:cs="Times New Roman CYR"/>
              </w:rPr>
              <w:t>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UA4000070395</w:t>
            </w:r>
          </w:p>
        </w:tc>
        <w:tc>
          <w:tcPr>
            <w:tcW w:w="38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14414776</w:t>
            </w:r>
          </w:p>
        </w:tc>
        <w:tc>
          <w:tcPr>
            <w:tcW w:w="38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A168CC">
      <w:pPr>
        <w:widowControl w:val="0"/>
        <w:autoSpaceDE w:val="0"/>
        <w:autoSpaceDN w:val="0"/>
        <w:adjustRightInd w:val="0"/>
        <w:spacing w:after="0" w:line="240" w:lineRule="auto"/>
        <w:rPr>
          <w:rFonts w:ascii="Times New Roman CYR" w:hAnsi="Times New Roman CYR" w:cs="Times New Roman CYR"/>
        </w:rPr>
      </w:pP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про загальну кількість голосуючих акцій та кількість голосуючих акцій, права голосу за якими обмежено, </w:t>
      </w:r>
      <w:r>
        <w:rPr>
          <w:rFonts w:ascii="Times New Roman CYR" w:hAnsi="Times New Roman CYR" w:cs="Times New Roman CYR"/>
          <w:b/>
          <w:bCs/>
          <w:sz w:val="24"/>
          <w:szCs w:val="24"/>
        </w:rPr>
        <w:t>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w:t>
            </w:r>
            <w:r>
              <w:rPr>
                <w:rFonts w:ascii="Times New Roman CYR" w:hAnsi="Times New Roman CYR" w:cs="Times New Roman CYR"/>
              </w:rPr>
              <w:t>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30.04.2010</w:t>
            </w:r>
          </w:p>
        </w:tc>
        <w:tc>
          <w:tcPr>
            <w:tcW w:w="20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02/06/1/10</w:t>
            </w:r>
          </w:p>
        </w:tc>
        <w:tc>
          <w:tcPr>
            <w:tcW w:w="20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UA4000070395</w:t>
            </w:r>
          </w:p>
        </w:tc>
        <w:tc>
          <w:tcPr>
            <w:tcW w:w="20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14 414 776</w:t>
            </w:r>
          </w:p>
        </w:tc>
        <w:tc>
          <w:tcPr>
            <w:tcW w:w="21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3 603 694</w:t>
            </w:r>
          </w:p>
        </w:tc>
        <w:tc>
          <w:tcPr>
            <w:tcW w:w="15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14 414 776</w:t>
            </w:r>
          </w:p>
        </w:tc>
        <w:tc>
          <w:tcPr>
            <w:tcW w:w="15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Обмежень немає</w:t>
            </w:r>
          </w:p>
        </w:tc>
      </w:tr>
    </w:tbl>
    <w:p w:rsidR="00000000" w:rsidRDefault="00A168CC">
      <w:pPr>
        <w:widowControl w:val="0"/>
        <w:autoSpaceDE w:val="0"/>
        <w:autoSpaceDN w:val="0"/>
        <w:adjustRightInd w:val="0"/>
        <w:spacing w:after="0" w:line="240" w:lineRule="auto"/>
        <w:rPr>
          <w:rFonts w:ascii="Times New Roman CYR" w:hAnsi="Times New Roman CYR" w:cs="Times New Roman CYR"/>
        </w:rPr>
      </w:pPr>
    </w:p>
    <w:p w:rsidR="00000000" w:rsidRDefault="00A168CC">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A168C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000000" w:rsidRDefault="00A168C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рiчну фiнансову звiтнiсть,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То</w:t>
      </w:r>
      <w:r>
        <w:rPr>
          <w:rFonts w:ascii="Times New Roman CYR" w:hAnsi="Times New Roman CYR" w:cs="Times New Roman CYR"/>
          <w:sz w:val="24"/>
          <w:szCs w:val="24"/>
        </w:rPr>
        <w:t>вариством стверджує про те, що, наскiльки це їм вiдомо, рiчна фiнансова звiтнiсть,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w:t>
      </w:r>
      <w:r>
        <w:rPr>
          <w:rFonts w:ascii="Times New Roman CYR" w:hAnsi="Times New Roman CYR" w:cs="Times New Roman CYR"/>
          <w:sz w:val="24"/>
          <w:szCs w:val="24"/>
        </w:rPr>
        <w:t>остовiрне та об'єктивне подання iнформацiї про стан активiв, пасивiв, фiнансовий стан, прибутки  емiтента.</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Товариства є фiнансовою звiтнiстю загального призначення, яка сформована з метою достовiрного подання фiнансового стану, фiнансов</w:t>
      </w:r>
      <w:r>
        <w:rPr>
          <w:rFonts w:ascii="Times New Roman CYR" w:hAnsi="Times New Roman CYR" w:cs="Times New Roman CYR"/>
          <w:sz w:val="24"/>
          <w:szCs w:val="24"/>
        </w:rPr>
        <w:t>их результатiв дiяльностi та грошових потокiв Товариства для задоволення iнформацiйних потреб широкого кола користувачiв при прийняттi ними економiчних рiшень. Концептуальною основою фiнансової звiтностi Товариства за рiк, що закiнчився 31 грудня 2021 року</w:t>
      </w:r>
      <w:r>
        <w:rPr>
          <w:rFonts w:ascii="Times New Roman CYR" w:hAnsi="Times New Roman CYR" w:cs="Times New Roman CYR"/>
          <w:sz w:val="24"/>
          <w:szCs w:val="24"/>
        </w:rPr>
        <w:t>, є Мiжнароднi стандарти фiнансової звiтностi (МСФЗ).</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Пiдготовлена Товариством фiнансова звiтнiсть без будь-яких застережень вiдповiдає всiм вимогам чинних МСФЗ з врахуванням змiн, внесених РМСБО станом на 01 сiчня 2021 року, дотримання яких забезпечує дос</w:t>
      </w:r>
      <w:r>
        <w:rPr>
          <w:rFonts w:ascii="Times New Roman CYR" w:hAnsi="Times New Roman CYR" w:cs="Times New Roman CYR"/>
          <w:sz w:val="24"/>
          <w:szCs w:val="24"/>
        </w:rPr>
        <w:t>товiрне подання iнформацiї в фiнансовий звiтностi, а саме, доречної, достовiрної, зiставної та зрозумiлої iнформацiї. При формуваннi фiнансової звiтностi Товариство керувалося також вимогами нацiональних законодавчих та нормативних актiв щодо органiзацiї i</w:t>
      </w:r>
      <w:r>
        <w:rPr>
          <w:rFonts w:ascii="Times New Roman CYR" w:hAnsi="Times New Roman CYR" w:cs="Times New Roman CYR"/>
          <w:sz w:val="24"/>
          <w:szCs w:val="24"/>
        </w:rPr>
        <w:t xml:space="preserve"> ведення бухгалтерського облiку та складання фiнансової звiтностi в Українi, якi не суперечать вимогам МСФЗ.</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Звiт керiвництва включає достовiрне та об'єктивне подання iнформацiї про розвиток i здiйснення господарської дiяльностi та стан емiтента. Вiд iменi</w:t>
      </w:r>
      <w:r>
        <w:rPr>
          <w:rFonts w:ascii="Times New Roman CYR" w:hAnsi="Times New Roman CYR" w:cs="Times New Roman CYR"/>
          <w:sz w:val="24"/>
          <w:szCs w:val="24"/>
        </w:rPr>
        <w:t xml:space="preserve"> керiвництва - Генеральний директор Венгловський Леонiд Петрович.</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Дiяльнiсть Наглядової ради протягом звiтного перiоду регулювалась Положенням про Наглядову раду. Протягом звiтного перiоду було забезпечено здiйснення контролю за своєчаснiстю розмiщенням та оприлюдненням регульованої iнформацiї про дiял</w:t>
      </w:r>
      <w:r>
        <w:rPr>
          <w:rFonts w:ascii="Times New Roman CYR" w:hAnsi="Times New Roman CYR" w:cs="Times New Roman CYR"/>
          <w:sz w:val="24"/>
          <w:szCs w:val="24"/>
        </w:rPr>
        <w:t>ьнiсть Товариства. Засiдання скликалися за iнiцiативою Голови або членiв Наглядової ради. Висловлюю щиру подяку членам Наглядової ради за проведену у 2023 роцi роботу. З повагою голова Наглядової ради Андрюс Шедiс.</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Звернення до акціонерів/учасників та </w:t>
      </w:r>
      <w:r>
        <w:rPr>
          <w:rFonts w:ascii="Times New Roman CYR" w:hAnsi="Times New Roman CYR" w:cs="Times New Roman CYR"/>
          <w:sz w:val="24"/>
          <w:szCs w:val="24"/>
        </w:rPr>
        <w:t>інших стейкхолдерів від керівника особи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вашої уваги пропонується звiт ПРАТ "Ушицький комбiнат будiвельних матерiалiв". Звiт керiвництва мiстить достовiрну та об'єктивну iнформацiю про стан, розвиток i здiйснення господарської дiяльнос</w:t>
      </w:r>
      <w:r>
        <w:rPr>
          <w:rFonts w:ascii="Times New Roman CYR" w:hAnsi="Times New Roman CYR" w:cs="Times New Roman CYR"/>
          <w:sz w:val="24"/>
          <w:szCs w:val="24"/>
        </w:rPr>
        <w:t>тi товариства з описом основних ризикiв та невизначеностей, з якими стикнулось товариство у процесi господарської дiяльностi. З повагою генеральний директор Венгловський Леонiд Петрович.</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w:t>
      </w:r>
      <w:r>
        <w:rPr>
          <w:rFonts w:ascii="Times New Roman CYR" w:hAnsi="Times New Roman CYR" w:cs="Times New Roman CYR"/>
          <w:sz w:val="24"/>
          <w:szCs w:val="24"/>
        </w:rPr>
        <w:t>тку особи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Українська економiка знаходиться в затяжнiй кризi, ускладненiй вiйськовим конфлiктом на сходi України та полiтичними змiнами. У звiтному роцi зовнiшнi умови для розвитку української економiки в цiлому залишалися несприятливими. Це було пов'язано </w:t>
      </w:r>
      <w:r>
        <w:rPr>
          <w:rFonts w:ascii="Times New Roman CYR" w:hAnsi="Times New Roman CYR" w:cs="Times New Roman CYR"/>
          <w:sz w:val="24"/>
          <w:szCs w:val="24"/>
        </w:rPr>
        <w:t>з подальшим стрiмким зниженням цiн на свiтових товарних ринках та слабким зовнiшнiм попитом з боку торговельних партнерiв. Основними негативними ризиками прогнозу для економiчного розвитку є можливе поглиблення падiння свiтових цiн на сировиннi товари, зме</w:t>
      </w:r>
      <w:r>
        <w:rPr>
          <w:rFonts w:ascii="Times New Roman CYR" w:hAnsi="Times New Roman CYR" w:cs="Times New Roman CYR"/>
          <w:sz w:val="24"/>
          <w:szCs w:val="24"/>
        </w:rPr>
        <w:t>ншення зовнiшньої пiдтримки у випадку гальмування реформ та повне блокування українського експорту. На скорочення реального ВВП за звiтний перiод впливали також падiння внутрiшнього попиту, спричинене, зокрема, зменшенням реальних доходiв населення, та сла</w:t>
      </w:r>
      <w:r>
        <w:rPr>
          <w:rFonts w:ascii="Times New Roman CYR" w:hAnsi="Times New Roman CYR" w:cs="Times New Roman CYR"/>
          <w:sz w:val="24"/>
          <w:szCs w:val="24"/>
        </w:rPr>
        <w:t xml:space="preserve">бкий зовнiшнiй попит. Основним галузям притаманне зниження обороту та обсягiв виробництва. </w:t>
      </w:r>
      <w:r>
        <w:rPr>
          <w:rFonts w:ascii="Times New Roman CYR" w:hAnsi="Times New Roman CYR" w:cs="Times New Roman CYR"/>
          <w:sz w:val="24"/>
          <w:szCs w:val="24"/>
        </w:rPr>
        <w:lastRenderedPageBreak/>
        <w:t>Невизначенiсть у економiчнiй та полiтичнiй сферах призвели до низького рiвня внутрiшнiх та зовнiшнiх iнвестицiй, що на тлi неспроможностi приватного сектору рефiнанс</w:t>
      </w:r>
      <w:r>
        <w:rPr>
          <w:rFonts w:ascii="Times New Roman CYR" w:hAnsi="Times New Roman CYR" w:cs="Times New Roman CYR"/>
          <w:sz w:val="24"/>
          <w:szCs w:val="24"/>
        </w:rPr>
        <w:t>увати борги, призвело до дефiциту фiнансового сектору. Сподiвання щодо залучення iноземних iнвестицiй справдилися тiльки частково, Україна отримувала лише незначне фiнансування iз-за кордону, в той час як iноземнi iнвестицiї оминали Україну. Наразi реальни</w:t>
      </w:r>
      <w:r>
        <w:rPr>
          <w:rFonts w:ascii="Times New Roman CYR" w:hAnsi="Times New Roman CYR" w:cs="Times New Roman CYR"/>
          <w:sz w:val="24"/>
          <w:szCs w:val="24"/>
        </w:rPr>
        <w:t>й сектор економiки знаходиться пiд потрiйним тиском згортання внутрiшнього та зовнiшнього попиту внаслiдок промислової кризи, дорожнечi внутрiшнiх ресурсiв i вiдсутностi доступу до зовнiшнього фiнансування, розриву виробничих та логiстичних ланцюгiв, зокре</w:t>
      </w:r>
      <w:r>
        <w:rPr>
          <w:rFonts w:ascii="Times New Roman CYR" w:hAnsi="Times New Roman CYR" w:cs="Times New Roman CYR"/>
          <w:sz w:val="24"/>
          <w:szCs w:val="24"/>
        </w:rPr>
        <w:t>ма в енергетицi, металургiї, хiмiї, що обумовило спад у виробництва, а також фiзично обмежило можливостi щодо експорту нацiональних товарiв. Стабiлiзацiя ситуацiї в Українi в значнiй мiрi залежить вiд дiй уряду, спрямованих, насамперед, на вирiшення вiйськ</w:t>
      </w:r>
      <w:r>
        <w:rPr>
          <w:rFonts w:ascii="Times New Roman CYR" w:hAnsi="Times New Roman CYR" w:cs="Times New Roman CYR"/>
          <w:sz w:val="24"/>
          <w:szCs w:val="24"/>
        </w:rPr>
        <w:t>ового конфлiкту та проведення реформ у фiнансовiй, адмiнiстративнiй, фiскальнiй та правовiй системах країни. З цiєю метою уряд країни запроваджує жорсткi та непопулярнi заходи, проведення яких може як позитивно, так i негативно вплинути на економiку Україн</w:t>
      </w:r>
      <w:r>
        <w:rPr>
          <w:rFonts w:ascii="Times New Roman CYR" w:hAnsi="Times New Roman CYR" w:cs="Times New Roman CYR"/>
          <w:sz w:val="24"/>
          <w:szCs w:val="24"/>
        </w:rPr>
        <w:t>и в цiлому та на Товариство зокрема.</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Промисловi розробки по видобутку та виробництву товарного щебню почались з 01.04.1960 року. Пiдприємство ранiше iснувало як Ушицький кам'яний кар'єр, який був пiдпорядкований Мiнiстерству енергетики СРСР, аз1991р. - Мiн</w:t>
      </w:r>
      <w:r>
        <w:rPr>
          <w:rFonts w:ascii="Times New Roman CYR" w:hAnsi="Times New Roman CYR" w:cs="Times New Roman CYR"/>
          <w:sz w:val="24"/>
          <w:szCs w:val="24"/>
        </w:rPr>
        <w:t>енерго України.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1993 роцi була проведена реорганiзацiя, в результатi якої пiдприємство виконує комплекс робiт вiд початкової стадiї (розкривнi та буро-вибуховi роботи) до випуску товарного щебню i його реалiзацiї, та було перейменоване в "Ушицький комбiн</w:t>
      </w:r>
      <w:r>
        <w:rPr>
          <w:rFonts w:ascii="Times New Roman CYR" w:hAnsi="Times New Roman CYR" w:cs="Times New Roman CYR"/>
          <w:sz w:val="24"/>
          <w:szCs w:val="24"/>
        </w:rPr>
        <w:t>ат будiвельних матерiалiв".</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пiдставi рiшення Фонду державного майна України вiд 25.06.99р. наказ № 59 ВАТ та зареєстрованого Коростенською районною державною адмiнiстрацiєю 30.06.99р., свiдоцтво №1-1020, державне пiдприємство Ушицький комбiнат будiвельн</w:t>
      </w:r>
      <w:r>
        <w:rPr>
          <w:rFonts w:ascii="Times New Roman CYR" w:hAnsi="Times New Roman CYR" w:cs="Times New Roman CYR"/>
          <w:sz w:val="24"/>
          <w:szCs w:val="24"/>
        </w:rPr>
        <w:t>их матерiалiв перетворене у ВАТ "Ушицький комбiнат будiвельних матерiалiв". Державна перереєстрацiя пiдприємства проведена 05.10.2004 р.</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Рiшенням загальних зборiв акцiонерiв, протокол №2 вiд 09 грудня 2010 року Пiдприємство перейменоване на Публiчне акцiон</w:t>
      </w:r>
      <w:r>
        <w:rPr>
          <w:rFonts w:ascii="Times New Roman CYR" w:hAnsi="Times New Roman CYR" w:cs="Times New Roman CYR"/>
          <w:sz w:val="24"/>
          <w:szCs w:val="24"/>
        </w:rPr>
        <w:t>ерне товариство "Ушицький комбiнат будiвельних матерiалiв". Загальними зборами акцiонерiв Товариства, протокол №5 вiд 01 грудня 2017 року, прийнято рiшення про змiну типу акцiонерного товариства (з "публiчного" на "приватне") та вiдповiдну змiну повного та</w:t>
      </w:r>
      <w:r>
        <w:rPr>
          <w:rFonts w:ascii="Times New Roman CYR" w:hAnsi="Times New Roman CYR" w:cs="Times New Roman CYR"/>
          <w:sz w:val="24"/>
          <w:szCs w:val="24"/>
        </w:rPr>
        <w:t xml:space="preserve"> скороченого найменування пiдприємства.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змiн стосовно видiв дiяльностi, а також такi подiї розвитку як злиття, подiл, приєднання, перетворення, видiл не вiдбувалось.</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w:t>
      </w:r>
      <w:r>
        <w:rPr>
          <w:rFonts w:ascii="Times New Roman CYR" w:hAnsi="Times New Roman CYR" w:cs="Times New Roman CYR"/>
          <w:sz w:val="24"/>
          <w:szCs w:val="24"/>
        </w:rPr>
        <w:t>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w:t>
      </w:r>
      <w:r>
        <w:rPr>
          <w:rFonts w:ascii="Times New Roman CYR" w:hAnsi="Times New Roman CYR" w:cs="Times New Roman CYR"/>
          <w:sz w:val="24"/>
          <w:szCs w:val="24"/>
        </w:rPr>
        <w:t>го активів, зобов'язань, фінансового стану і доходів або витрат</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Товариством у звiтному роцi не укладались деривативи та не вчинялись правочини щодо похiдних цiнних паперiв.</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w:t>
      </w:r>
      <w:r>
        <w:rPr>
          <w:rFonts w:ascii="Times New Roman CYR" w:hAnsi="Times New Roman CYR" w:cs="Times New Roman CYR"/>
          <w:sz w:val="24"/>
          <w:szCs w:val="24"/>
        </w:rPr>
        <w:t>олітика щодо страхування кожного основного виду прогнозованої операції, для якої використовуються операції хеджування</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Данi про завдання та полiтику емiтента щодо управлiння фiнансовими ризиками, у тому числi полiтику щодо страхування кожного основного виду</w:t>
      </w:r>
      <w:r>
        <w:rPr>
          <w:rFonts w:ascii="Times New Roman CYR" w:hAnsi="Times New Roman CYR" w:cs="Times New Roman CYR"/>
          <w:sz w:val="24"/>
          <w:szCs w:val="24"/>
        </w:rPr>
        <w:t xml:space="preserve"> прогнозованої операцiї, для якої використовуються операцiї хеджування.</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Емiтент має схильнiсть до цiнових ризикiв.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кредитн</w:t>
      </w:r>
      <w:r>
        <w:rPr>
          <w:rFonts w:ascii="Times New Roman CYR" w:hAnsi="Times New Roman CYR" w:cs="Times New Roman CYR"/>
          <w:sz w:val="24"/>
          <w:szCs w:val="24"/>
        </w:rPr>
        <w:t xml:space="preserve">ого ризику: емiтент не має схильнiсть до кредитного ризику (емiтент не має кредитнi зобов'язання).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ризику лiквiдностi та/або ризику грошових потокiв: емiтент має схильнiсть до ризику лiквiдностi/та або ризику грошових потокiв.</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має досить високий ринковий ризик (валютний та процентний) за операцiями фiнансового </w:t>
      </w:r>
      <w:r>
        <w:rPr>
          <w:rFonts w:ascii="Times New Roman CYR" w:hAnsi="Times New Roman CYR" w:cs="Times New Roman CYR"/>
          <w:sz w:val="24"/>
          <w:szCs w:val="24"/>
        </w:rPr>
        <w:lastRenderedPageBreak/>
        <w:t>лiзингу, так як договори на об'єкти лiзингу складенi iз урахуванням впливу на зобов'язання змiни курсу валют, при змiнi зобов'язання також змiнюється обсяг вiдр</w:t>
      </w:r>
      <w:r>
        <w:rPr>
          <w:rFonts w:ascii="Times New Roman CYR" w:hAnsi="Times New Roman CYR" w:cs="Times New Roman CYR"/>
          <w:sz w:val="24"/>
          <w:szCs w:val="24"/>
        </w:rPr>
        <w:t>ахувань по вiдсотках по лiзингових операцiях.</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1) звіт про корпоративне управління</w:t>
      </w: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1. Інформація про кодекс корпоративного управління, яким керується особа, та/або практику корпоративного управління особи, застосовувану понад визначені законодавст</w:t>
      </w:r>
      <w:r>
        <w:rPr>
          <w:rFonts w:ascii="Times New Roman CYR" w:hAnsi="Times New Roman CYR" w:cs="Times New Roman CYR"/>
          <w:b/>
          <w:bCs/>
          <w:sz w:val="24"/>
          <w:szCs w:val="24"/>
        </w:rPr>
        <w:t>вом вимоги</w:t>
      </w: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кодекс корпоративного управління, яким керується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6000"/>
      </w:tblGrid>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600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Прийнято рішення про застосування іншого кодексу</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Назва органу управління, яким прийнято рішення про затвердження застосування іншого кодексу</w:t>
            </w:r>
          </w:p>
        </w:tc>
        <w:tc>
          <w:tcPr>
            <w:tcW w:w="600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Кодекс корпоративного управлiння ПрАТ "УКБМ" (далi - Кодекс) був прийнятий та затверджений загальними зборами акцiонерiв Товариства 06 серпня 2012 року. У 2019 роцi були внесенi змiни та доповнення до Кодексу, внаслiдок чого загальними зборами акцiонерiв, </w:t>
            </w:r>
            <w:r>
              <w:rPr>
                <w:rFonts w:ascii="Times New Roman CYR" w:hAnsi="Times New Roman CYR" w:cs="Times New Roman CYR"/>
                <w:sz w:val="24"/>
                <w:szCs w:val="24"/>
              </w:rPr>
              <w:t xml:space="preserve">що вiдбулися 24 квiтня 2019 року (Протокол №1) була прийнята та затверджена нова редакцiя Кодексу корпоративного управлiння ПрАТ "Ушицький комбiнат будiвельних матерiалiв". </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прийняття рішення щодо затвердження застосування іншого кодексу</w:t>
            </w:r>
          </w:p>
        </w:tc>
        <w:tc>
          <w:tcPr>
            <w:tcW w:w="600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06.08.2012</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URL-адреса з текстом кодексу</w:t>
            </w:r>
          </w:p>
        </w:tc>
        <w:tc>
          <w:tcPr>
            <w:tcW w:w="600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https://ukbm.com.ua/files/kodeks.doc</w:t>
            </w:r>
          </w:p>
        </w:tc>
      </w:tr>
    </w:tbl>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2. Інформація про загальні збори акціонерів (учасників) та загальний опис прийнятих на таких зборах рішень: 2 (2)</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Дата проведення</w:t>
            </w:r>
          </w:p>
        </w:tc>
        <w:tc>
          <w:tcPr>
            <w:tcW w:w="7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03.05.2023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Спосіб проведення</w:t>
            </w:r>
          </w:p>
        </w:tc>
        <w:tc>
          <w:tcPr>
            <w:tcW w:w="7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r>
              <w:rPr>
                <w:rFonts w:ascii="Times New Roman CYR" w:hAnsi="Times New Roman CYR" w:cs="Times New Roman CYR"/>
                <w:sz w:val="24"/>
                <w:szCs w:val="24"/>
              </w:rPr>
              <w:tab/>
            </w:r>
            <w:r>
              <w:rPr>
                <w:rFonts w:ascii="Times New Roman CYR" w:hAnsi="Times New Roman CYR" w:cs="Times New Roman CYR"/>
                <w:sz w:val="24"/>
                <w:szCs w:val="24"/>
              </w:rPr>
              <w:t>очне голосування, місце проведення: Республiка Маврикiй</w:t>
            </w: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електронне голосування</w:t>
            </w: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опитування (дистанційно)</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Суб'єкт скликання</w:t>
            </w:r>
          </w:p>
        </w:tc>
        <w:tc>
          <w:tcPr>
            <w:tcW w:w="7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вiдповiдно до ст.59 Закону про АТ</w:t>
            </w:r>
          </w:p>
        </w:tc>
      </w:tr>
      <w:tr w:rsidR="00000000">
        <w:tblPrEx>
          <w:tblCellMar>
            <w:top w:w="0" w:type="dxa"/>
            <w:bottom w:w="0" w:type="dxa"/>
          </w:tblCellMar>
        </w:tblPrEx>
        <w:trPr>
          <w:trHeight w:val="200"/>
        </w:trPr>
        <w:tc>
          <w:tcPr>
            <w:tcW w:w="10000" w:type="dxa"/>
            <w:gridSpan w:val="2"/>
            <w:tcBorders>
              <w:top w:val="single" w:sz="6" w:space="0" w:color="auto"/>
              <w:bottom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Питання порядку денного та прийняті рішення:</w:t>
            </w:r>
          </w:p>
        </w:tc>
      </w:tr>
      <w:tr w:rsidR="00000000">
        <w:tblPrEx>
          <w:tblCellMar>
            <w:top w:w="0" w:type="dxa"/>
            <w:bottom w:w="0" w:type="dxa"/>
          </w:tblCellMar>
        </w:tblPrEx>
        <w:trPr>
          <w:trHeight w:val="200"/>
        </w:trPr>
        <w:tc>
          <w:tcPr>
            <w:tcW w:w="10000" w:type="dxa"/>
            <w:gridSpan w:val="2"/>
            <w:tcBorders>
              <w:top w:val="single" w:sz="6" w:space="0" w:color="auto"/>
              <w:bottom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Перше питання: Прийняття рiшення про припинення повноважень Наглядової ради Товариства. Обрання членiв Наглядової ради Товариства.</w:t>
            </w: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Припинити повноваження наглядової ради Товариства та обрати новий склад наглядової ради у кiлькостi 2 (двох</w:t>
            </w:r>
            <w:r>
              <w:rPr>
                <w:rFonts w:ascii="Times New Roman CYR" w:hAnsi="Times New Roman CYR" w:cs="Times New Roman CYR"/>
                <w:sz w:val="24"/>
                <w:szCs w:val="24"/>
              </w:rPr>
              <w:t>) членiв: Андрюса Шедiса (Литва) та Наталiї Коннiк (Нiдерланди) строком на 3 роки починаючи з 3 травня 2023 року.</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URL-адреса протоколу загальних зборів:</w:t>
            </w:r>
          </w:p>
        </w:tc>
        <w:tc>
          <w:tcPr>
            <w:tcW w:w="7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https://ukbm.com.ua</w:t>
            </w:r>
          </w:p>
        </w:tc>
      </w:tr>
    </w:tbl>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Дата проведення</w:t>
            </w:r>
          </w:p>
        </w:tc>
        <w:tc>
          <w:tcPr>
            <w:tcW w:w="7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10.01.2023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Спосіб проведення</w:t>
            </w:r>
          </w:p>
        </w:tc>
        <w:tc>
          <w:tcPr>
            <w:tcW w:w="7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r>
              <w:rPr>
                <w:rFonts w:ascii="Times New Roman CYR" w:hAnsi="Times New Roman CYR" w:cs="Times New Roman CYR"/>
                <w:sz w:val="24"/>
                <w:szCs w:val="24"/>
              </w:rPr>
              <w:tab/>
            </w:r>
            <w:r>
              <w:rPr>
                <w:rFonts w:ascii="Times New Roman CYR" w:hAnsi="Times New Roman CYR" w:cs="Times New Roman CYR"/>
                <w:sz w:val="24"/>
                <w:szCs w:val="24"/>
              </w:rPr>
              <w:t>очне голосування, місце проведення: Пiвденна Африка, Хартбееспорт</w:t>
            </w: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електронне голосування</w:t>
            </w: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опитування (дистанційно)</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Суб'єкт скликання</w:t>
            </w:r>
          </w:p>
        </w:tc>
        <w:tc>
          <w:tcPr>
            <w:tcW w:w="7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вiдповiдно до ст.59 Закону про АТ</w:t>
            </w:r>
          </w:p>
        </w:tc>
      </w:tr>
      <w:tr w:rsidR="00000000">
        <w:tblPrEx>
          <w:tblCellMar>
            <w:top w:w="0" w:type="dxa"/>
            <w:bottom w:w="0" w:type="dxa"/>
          </w:tblCellMar>
        </w:tblPrEx>
        <w:trPr>
          <w:trHeight w:val="200"/>
        </w:trPr>
        <w:tc>
          <w:tcPr>
            <w:tcW w:w="10000" w:type="dxa"/>
            <w:gridSpan w:val="2"/>
            <w:tcBorders>
              <w:top w:val="single" w:sz="6" w:space="0" w:color="auto"/>
              <w:bottom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Питання порядку денного та прийняті рішення:</w:t>
            </w:r>
          </w:p>
        </w:tc>
      </w:tr>
      <w:tr w:rsidR="00000000">
        <w:tblPrEx>
          <w:tblCellMar>
            <w:top w:w="0" w:type="dxa"/>
            <w:bottom w:w="0" w:type="dxa"/>
          </w:tblCellMar>
        </w:tblPrEx>
        <w:trPr>
          <w:trHeight w:val="200"/>
        </w:trPr>
        <w:tc>
          <w:tcPr>
            <w:tcW w:w="10000" w:type="dxa"/>
            <w:gridSpan w:val="2"/>
            <w:tcBorders>
              <w:top w:val="single" w:sz="6" w:space="0" w:color="auto"/>
              <w:bottom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Прийнятi рiшення:</w:t>
            </w: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Не продовжувати дiю трудового договору з Шустом Олексiєм Володимировичем та обрати нового генерального директора Товариства - Венгловського Леонiда Петровича (05 березня 1967 року народження, паспорт громадянина України ВМ539881) строком на один рiк з 1</w:t>
            </w:r>
            <w:r>
              <w:rPr>
                <w:rFonts w:ascii="Times New Roman CYR" w:hAnsi="Times New Roman CYR" w:cs="Times New Roman CYR"/>
                <w:sz w:val="24"/>
                <w:szCs w:val="24"/>
              </w:rPr>
              <w:t xml:space="preserve">4 </w:t>
            </w:r>
            <w:r>
              <w:rPr>
                <w:rFonts w:ascii="Times New Roman CYR" w:hAnsi="Times New Roman CYR" w:cs="Times New Roman CYR"/>
                <w:sz w:val="24"/>
                <w:szCs w:val="24"/>
              </w:rPr>
              <w:lastRenderedPageBreak/>
              <w:t>сiчня 2023 року по 13 сiчня 2024 року.</w:t>
            </w: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Затвердити кiлькiсний склад Наглядової Ради у кiлькостi 2 осiб. Продовжити повноваження (переобрати) членiв Наглядової Ради Шодiєва Алiшера Бахромовича (Таджикистан) та Шедiса Андрюса (Литва) строком на 3 роки.</w:t>
            </w: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 Доручити члену Наглядової Ради Шодiєву Алiшеру Бахромовичу укласти трудовий договiр з новим генеральним директором Товариства Венгловським Леонiдом Петровичем.</w:t>
            </w: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URL-адреса протоколу загальних зборів:</w:t>
            </w:r>
          </w:p>
        </w:tc>
        <w:tc>
          <w:tcPr>
            <w:tcW w:w="7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https://ukbm.com.ua</w:t>
            </w:r>
          </w:p>
        </w:tc>
      </w:tr>
    </w:tbl>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rsidR="00000000" w:rsidRDefault="00A168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000000">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Андрюс Шедiс (03.0</w:t>
            </w:r>
            <w:r>
              <w:rPr>
                <w:rFonts w:ascii="Times New Roman CYR" w:hAnsi="Times New Roman CYR" w:cs="Times New Roman CYR"/>
              </w:rPr>
              <w:t>5.2023 - 31.12.2023 р.р.)</w:t>
            </w:r>
          </w:p>
        </w:tc>
        <w:tc>
          <w:tcPr>
            <w:tcW w:w="11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Наталiя Коннiк</w:t>
            </w:r>
          </w:p>
        </w:tc>
        <w:tc>
          <w:tcPr>
            <w:tcW w:w="11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Шодiєв Алiшер Бахромович (01.01.2023 - 02.05.2023 р.р.)</w:t>
            </w:r>
          </w:p>
        </w:tc>
        <w:tc>
          <w:tcPr>
            <w:tcW w:w="11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A168CC">
      <w:pPr>
        <w:widowControl w:val="0"/>
        <w:autoSpaceDE w:val="0"/>
        <w:autoSpaceDN w:val="0"/>
        <w:adjustRightInd w:val="0"/>
        <w:spacing w:after="0" w:line="240" w:lineRule="auto"/>
        <w:rPr>
          <w:rFonts w:ascii="Times New Roman CYR" w:hAnsi="Times New Roman CYR" w:cs="Times New Roman CYR"/>
        </w:rPr>
      </w:pPr>
    </w:p>
    <w:p w:rsidR="00000000" w:rsidRDefault="00A168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03.05.2023 р. Вирiшили: Обрати на посаду голови наглядової ради строком на три роки Андрюса Шедiса. </w:t>
            </w:r>
          </w:p>
        </w:tc>
      </w:tr>
    </w:tbl>
    <w:p w:rsidR="00000000" w:rsidRDefault="00A168CC">
      <w:pPr>
        <w:widowControl w:val="0"/>
        <w:autoSpaceDE w:val="0"/>
        <w:autoSpaceDN w:val="0"/>
        <w:adjustRightInd w:val="0"/>
        <w:spacing w:after="0" w:line="240" w:lineRule="auto"/>
        <w:rPr>
          <w:rFonts w:ascii="Times New Roman CYR" w:hAnsi="Times New Roman CYR" w:cs="Times New Roman CYR"/>
        </w:rPr>
      </w:pPr>
    </w:p>
    <w:p w:rsidR="00000000" w:rsidRDefault="00A168C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w:t>
      </w:r>
      <w:r>
        <w:rPr>
          <w:rFonts w:ascii="Times New Roman CYR" w:hAnsi="Times New Roman CYR" w:cs="Times New Roman CYR"/>
          <w:sz w:val="24"/>
          <w:szCs w:val="24"/>
        </w:rPr>
        <w:t xml:space="preserve"> ради);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Склад, структура та дiяльнiсть Наглядової ради як колегiального органу вiдповiдає вимогам, визначеним чинним законодавством.</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кожного члена ради, включаючи iнформацiю про його дiяльнiсть як посадової особи iнших юридичних осiб або iншу дiяльнiсть - оплачувану i безоплатну;</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Компетентнiсть та ефективнiсть кожного члена Наглядової ради оцiнює</w:t>
      </w:r>
      <w:r>
        <w:rPr>
          <w:rFonts w:ascii="Times New Roman CYR" w:hAnsi="Times New Roman CYR" w:cs="Times New Roman CYR"/>
          <w:sz w:val="24"/>
          <w:szCs w:val="24"/>
        </w:rPr>
        <w:t>ться на високому рiвнi.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ради вiдповiдають вимогам незалежностi, визначеним чинним законодавством.</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компетентностi та ефективностi кожного з комiтетiв ради, їхнi функцiональнi повноваже</w:t>
      </w:r>
      <w:r>
        <w:rPr>
          <w:rFonts w:ascii="Times New Roman CYR" w:hAnsi="Times New Roman CYR" w:cs="Times New Roman CYR"/>
          <w:sz w:val="24"/>
          <w:szCs w:val="24"/>
        </w:rPr>
        <w:t>ння.</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поставлених цiлей особи.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протязi звiтного перiоду Наглядовою радою здiйснювався контроль дiяльностi виконавчого органу вiдповiдно до Статуту Товариства та законодавства. Враховуючи складну ситуацiю в </w:t>
      </w:r>
      <w:r>
        <w:rPr>
          <w:rFonts w:ascii="Times New Roman CYR" w:hAnsi="Times New Roman CYR" w:cs="Times New Roman CYR"/>
          <w:sz w:val="24"/>
          <w:szCs w:val="24"/>
        </w:rPr>
        <w:t>країнi в цiлому, виконання радою поставлених цiлей оцiнюється задовiльно. Вплив рiшень, прийнятих радою протягом звiтного перiоду з метою забезпечення досягнення поставлених перед особою стратегiчних цiлей, оцiнити неможливо, так як на протязi звiтного пер</w:t>
      </w:r>
      <w:r>
        <w:rPr>
          <w:rFonts w:ascii="Times New Roman CYR" w:hAnsi="Times New Roman CYR" w:cs="Times New Roman CYR"/>
          <w:sz w:val="24"/>
          <w:szCs w:val="24"/>
        </w:rPr>
        <w:t>iоду таких рiшень прийнято не було. На рiчних загальних зборах, якi вiдбулись 12.04.2024 р. робота Ради визнана задовiльною.</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iнформацiя про внутрiшню структуру ради, процедури, що застосовуються при прийняттi нею рiшень, включаючи зазначення того, яким </w:t>
      </w:r>
      <w:r>
        <w:rPr>
          <w:rFonts w:ascii="Times New Roman CYR" w:hAnsi="Times New Roman CYR" w:cs="Times New Roman CYR"/>
          <w:sz w:val="24"/>
          <w:szCs w:val="24"/>
        </w:rPr>
        <w:t xml:space="preserve">чином дiяльнiсть ради зумовила змiни у </w:t>
      </w:r>
      <w:r>
        <w:rPr>
          <w:rFonts w:ascii="Times New Roman CYR" w:hAnsi="Times New Roman CYR" w:cs="Times New Roman CYR"/>
          <w:sz w:val="24"/>
          <w:szCs w:val="24"/>
        </w:rPr>
        <w:lastRenderedPageBreak/>
        <w:t>фiнансово-господарськiй дiяльностi особи.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Внутрiшня структура ради - голова наглядової ради та 1 член наглядової ради. Основною органiзацiйною формою роботи Наглядової ради є засiдання. Засiдання Наглядової ради склик</w:t>
      </w:r>
      <w:r>
        <w:rPr>
          <w:rFonts w:ascii="Times New Roman CYR" w:hAnsi="Times New Roman CYR" w:cs="Times New Roman CYR"/>
          <w:sz w:val="24"/>
          <w:szCs w:val="24"/>
        </w:rPr>
        <w:t xml:space="preserve">аються за iнiцiативою голови Наглядової ради або на вимогу члена Наглядової ради. Засiдання Наглядової ради також скликаються на вимогу Ревiзiйної комiсiї, виконавчого органу, iнших осiб, визначених Статутом, якi беруть участь у засiданнi Наглядової ради. </w:t>
      </w:r>
      <w:r>
        <w:rPr>
          <w:rFonts w:ascii="Times New Roman CYR" w:hAnsi="Times New Roman CYR" w:cs="Times New Roman CYR"/>
          <w:sz w:val="24"/>
          <w:szCs w:val="24"/>
        </w:rPr>
        <w:t xml:space="preserve">На вимогу Наглядової ради в її засiданнi або в розглядi окремих питань порядку денного засiдання беруть участь Генеральний директор та iншi визначенi нею особи в порядку, встановленому положенням про Наглядову раду. Засiдання Наглядової ради проводяться в </w:t>
      </w:r>
      <w:r>
        <w:rPr>
          <w:rFonts w:ascii="Times New Roman CYR" w:hAnsi="Times New Roman CYR" w:cs="Times New Roman CYR"/>
          <w:sz w:val="24"/>
          <w:szCs w:val="24"/>
        </w:rPr>
        <w:t xml:space="preserve">мiру необхiдностi, але не рiдше одного разу на мiсяць. Наглядова Рада правомочна вирiшувати винесенi на її розгляд питання, якщо в засiданнi беруть участь всi її члени. Рiшення Наглядової Ради по питанням, вiднесеним до її компетенцiї, приймаються простою </w:t>
      </w:r>
      <w:r>
        <w:rPr>
          <w:rFonts w:ascii="Times New Roman CYR" w:hAnsi="Times New Roman CYR" w:cs="Times New Roman CYR"/>
          <w:sz w:val="24"/>
          <w:szCs w:val="24"/>
        </w:rPr>
        <w:t>бiльшiстю голосiв. На засiданнях Наглядової ради ведеться протокол, який пiдписується всiма членами Наглядової ради, якi беруть участь в засiданнi. На вимогу Наглядової ради в її засiданнi бере участь Генеральний директор. Рiшення Наглядової ради ухвалюють</w:t>
      </w:r>
      <w:r>
        <w:rPr>
          <w:rFonts w:ascii="Times New Roman CYR" w:hAnsi="Times New Roman CYR" w:cs="Times New Roman CYR"/>
          <w:sz w:val="24"/>
          <w:szCs w:val="24"/>
        </w:rPr>
        <w:t>ся простою бiльшiстю голосiв членiв Наглядової ради. На засiданнi Наглядової ради кожний член Наглядової ради має один голос. Голова Наглядової ради має право вирiшального голосу у разi рiвного розподiлу голосiв членiв Наглядової ради пiд час прийняття рiш</w:t>
      </w:r>
      <w:r>
        <w:rPr>
          <w:rFonts w:ascii="Times New Roman CYR" w:hAnsi="Times New Roman CYR" w:cs="Times New Roman CYR"/>
          <w:sz w:val="24"/>
          <w:szCs w:val="24"/>
        </w:rPr>
        <w:t>ень. Наглядова рада може приймати рiшення шляхом проведення заочного голосування (опитування). Наглядова рада може утворювати постiйнi чи тимчасовi комiтети з числа її членiв для вивчення i пiдготовки питань, що належать до компетенцiї Наглядової ради. Про</w:t>
      </w:r>
      <w:r>
        <w:rPr>
          <w:rFonts w:ascii="Times New Roman CYR" w:hAnsi="Times New Roman CYR" w:cs="Times New Roman CYR"/>
          <w:sz w:val="24"/>
          <w:szCs w:val="24"/>
        </w:rPr>
        <w:t>токол засiдання Наглядової ради оформлюється протягом п'яти днiв пiсля проведення засiдання та пiдписується головуючим на засiданнi.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дiяльностi наглядової ради, яка зумовила змiни у фiнансово-господарськiй дiяльностi товариства, не проводилась.</w:t>
      </w: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w:t>
      </w:r>
      <w:r>
        <w:rPr>
          <w:rFonts w:ascii="Times New Roman CYR" w:hAnsi="Times New Roman CYR" w:cs="Times New Roman CYR"/>
          <w:b/>
          <w:bCs/>
          <w:sz w:val="24"/>
          <w:szCs w:val="24"/>
        </w:rPr>
        <w:t>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Венгловський Леонiд Петрович (14.01.2023 - 31.12.2023 р.р.)</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Повноваження та обов'язки виконавчого органу визначенi статутом товариства, а саме: управлiння поточною дiяльнiстю товариства, органiзацiя його виробничо-господарської, соцiальної та iншої дiяльностi, забезпечення виконання завдань товариства, передбачених</w:t>
            </w:r>
            <w:r>
              <w:rPr>
                <w:rFonts w:ascii="Times New Roman CYR" w:hAnsi="Times New Roman CYR" w:cs="Times New Roman CYR"/>
              </w:rPr>
              <w:t xml:space="preserve"> статутом.</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both"/>
              <w:rPr>
                <w:rFonts w:ascii="Times New Roman CYR" w:hAnsi="Times New Roman CYR" w:cs="Times New Roman CYR"/>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Шуст Олексiй Володимирович (01.01.2023 - 13.01.2023 р.р.)</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 одноособовий - генеральний директор Венгловський Леонiд Петрович. Склад </w:t>
      </w:r>
      <w:r>
        <w:rPr>
          <w:rFonts w:ascii="Times New Roman CYR" w:hAnsi="Times New Roman CYR" w:cs="Times New Roman CYR"/>
          <w:sz w:val="24"/>
          <w:szCs w:val="24"/>
        </w:rPr>
        <w:lastRenderedPageBreak/>
        <w:t>структура та дiяльнiсть виконавчого органу вiдповiдає потребам Товариства для рiшення питань, якi стосу</w:t>
      </w:r>
      <w:r>
        <w:rPr>
          <w:rFonts w:ascii="Times New Roman CYR" w:hAnsi="Times New Roman CYR" w:cs="Times New Roman CYR"/>
          <w:sz w:val="24"/>
          <w:szCs w:val="24"/>
        </w:rPr>
        <w:t>ються розвитку пiдприємства, збереженню матерiально-технiчної бази пiдприємства. Оцiнка дiяльностi виконавчого органу вiдбувається шляхом затвердження звiту Генерального Директора за звiтний рiк на рiчних Загальних зборах акцiонерiв. На рiчних загальних зб</w:t>
      </w:r>
      <w:r>
        <w:rPr>
          <w:rFonts w:ascii="Times New Roman CYR" w:hAnsi="Times New Roman CYR" w:cs="Times New Roman CYR"/>
          <w:sz w:val="24"/>
          <w:szCs w:val="24"/>
        </w:rPr>
        <w:t>орах, якi вiдбулись 12.04.2024 р. робота генерального директора визнана задовiльною.</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оцiнка компетентностi та ефективностi керiвника та заступникiв керiвника/голови та членiв колегiального виконавчого органу, включаючи iнформацiю про його дiяльнiсть як </w:t>
      </w:r>
      <w:r>
        <w:rPr>
          <w:rFonts w:ascii="Times New Roman CYR" w:hAnsi="Times New Roman CYR" w:cs="Times New Roman CYR"/>
          <w:sz w:val="24"/>
          <w:szCs w:val="24"/>
        </w:rPr>
        <w:t>посадової особи iнших юридичних осiб або iншу дiяльнiсть - оплачувану i безоплатну;</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Генеральний Директор компетентний у своїй роботi, вiдповiдає займанiй посадi.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виконавчого органу поз</w:t>
      </w:r>
      <w:r>
        <w:rPr>
          <w:rFonts w:ascii="Times New Roman CYR" w:hAnsi="Times New Roman CYR" w:cs="Times New Roman CYR"/>
          <w:sz w:val="24"/>
          <w:szCs w:val="24"/>
        </w:rPr>
        <w:t xml:space="preserve">итивно вплинули на фiнансово-господарську дiяльнiсть товариства.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 дiяльностi особи.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дiяльностi виконавчого органу, яка зумовила змiни у фiнансово</w:t>
      </w:r>
      <w:r>
        <w:rPr>
          <w:rFonts w:ascii="Times New Roman CYR" w:hAnsi="Times New Roman CYR" w:cs="Times New Roman CYR"/>
          <w:sz w:val="24"/>
          <w:szCs w:val="24"/>
        </w:rPr>
        <w:t>-господарськiй дiяльностi товариства, не проводилась.</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РАМ ЮНIВЕРСАЛ ЛIМIТЕД</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48,98</w:t>
            </w:r>
          </w:p>
        </w:tc>
        <w:tc>
          <w:tcPr>
            <w:tcW w:w="175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48,98</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ГЛЕДВIН IНДАСТРIАЛ ЛIМIТЕД</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51,02</w:t>
            </w:r>
          </w:p>
        </w:tc>
        <w:tc>
          <w:tcPr>
            <w:tcW w:w="175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51,02</w:t>
            </w:r>
          </w:p>
        </w:tc>
      </w:tr>
    </w:tbl>
    <w:p w:rsidR="00000000" w:rsidRDefault="00A168CC">
      <w:pPr>
        <w:widowControl w:val="0"/>
        <w:autoSpaceDE w:val="0"/>
        <w:autoSpaceDN w:val="0"/>
        <w:adjustRightInd w:val="0"/>
        <w:spacing w:after="0" w:line="240" w:lineRule="auto"/>
        <w:rPr>
          <w:rFonts w:ascii="Times New Roman CYR" w:hAnsi="Times New Roman CYR" w:cs="Times New Roman CYR"/>
        </w:rPr>
      </w:pP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Будь-якi обмеження прав участi та голосування акцiонерiв на загальних зборах емiтента вiдсутнi.</w:t>
            </w:r>
          </w:p>
        </w:tc>
      </w:tr>
    </w:tbl>
    <w:p w:rsidR="00000000" w:rsidRDefault="00A168CC">
      <w:pPr>
        <w:widowControl w:val="0"/>
        <w:autoSpaceDE w:val="0"/>
        <w:autoSpaceDN w:val="0"/>
        <w:adjustRightInd w:val="0"/>
        <w:spacing w:after="0" w:line="240" w:lineRule="auto"/>
        <w:rPr>
          <w:rFonts w:ascii="Times New Roman CYR" w:hAnsi="Times New Roman CYR" w:cs="Times New Roman CYR"/>
        </w:rPr>
      </w:pPr>
    </w:p>
    <w:p w:rsidR="00000000" w:rsidRDefault="00A168CC">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Частина 10. Інформація щодо порядку призначення/звільнення посадових осіб (крім ради та виконавчого органу)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500"/>
        <w:gridCol w:w="1500"/>
        <w:gridCol w:w="3140"/>
        <w:gridCol w:w="3160"/>
        <w:gridCol w:w="31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посадової особи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w:t>
            </w:r>
            <w:r>
              <w:rPr>
                <w:rFonts w:ascii="Times New Roman CYR" w:hAnsi="Times New Roman CYR" w:cs="Times New Roman CYR"/>
              </w:rPr>
              <w:t>КПП</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14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посади, назва органу, який прийняв рішення про призначення посадової особи, дата та номер рішення</w:t>
            </w:r>
          </w:p>
        </w:tc>
        <w:tc>
          <w:tcPr>
            <w:tcW w:w="316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ключових повноважень посадової особи</w:t>
            </w:r>
          </w:p>
        </w:tc>
        <w:tc>
          <w:tcPr>
            <w:tcW w:w="310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Порядок призначення та звільнення посадової особи</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Миклуха Таїса Вiталiївна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c>
          <w:tcPr>
            <w:tcW w:w="314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w:t>
            </w:r>
            <w:r>
              <w:rPr>
                <w:rFonts w:ascii="Times New Roman CYR" w:hAnsi="Times New Roman CYR" w:cs="Times New Roman CYR"/>
              </w:rPr>
              <w:t>овний бухгалтер. Призначена вiдповiдно Наказу №248-К вiд 02.08.2021 року безстроково.</w:t>
            </w:r>
          </w:p>
        </w:tc>
        <w:tc>
          <w:tcPr>
            <w:tcW w:w="316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Повноваження ГОЛОВНОГО БУХГАЛТЕРА визначаються Законом України "Про бухгалтерський облiк та фiнансову звiтнiсть в Українi", посадовою iнструкцiєю головного бухгалтера. До</w:t>
            </w:r>
            <w:r>
              <w:rPr>
                <w:rFonts w:ascii="Times New Roman CYR" w:hAnsi="Times New Roman CYR" w:cs="Times New Roman CYR"/>
              </w:rPr>
              <w:t xml:space="preserve"> повноважень та обов'язкiв посадової особи як головного бухгалтера належать органiзацiя i ведення бухгалтерського облiку на пiдприємствi. Обов'язками головного бухгалтера є забезпечення ведення бухгалтерського облiку, дотримуючись єдиних методологiчних зас</w:t>
            </w:r>
            <w:r>
              <w:rPr>
                <w:rFonts w:ascii="Times New Roman CYR" w:hAnsi="Times New Roman CYR" w:cs="Times New Roman CYR"/>
              </w:rPr>
              <w:t>ад, встановлених законодавством України, з урахуванням особливостей дiяльностi пiдприємства i технологiї оброблення облiкових даних, органiзацiя контролю за вiдображенням на рахунках бухгалтерського облiку всiх господарських операцiй.</w:t>
            </w:r>
          </w:p>
        </w:tc>
        <w:tc>
          <w:tcPr>
            <w:tcW w:w="310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Головний бухгалтер то</w:t>
            </w:r>
            <w:r>
              <w:rPr>
                <w:rFonts w:ascii="Times New Roman CYR" w:hAnsi="Times New Roman CYR" w:cs="Times New Roman CYR"/>
              </w:rPr>
              <w:t>вариства призначається або звiльняється наказом по товариству згiдно чинного законодавства України.</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Будас Олександр Пилипович</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c>
          <w:tcPr>
            <w:tcW w:w="314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Член Ревiзiйної комiсiї. Вiдповiдно до рiшення Загальних зборiв ПРАТ "УШИЦЬКИЙ КОМБIНАТ БУДIВЕЛЬНИХ МАТЕРIАЛIВ" вiд 26.03.2021 </w:t>
            </w:r>
            <w:r>
              <w:rPr>
                <w:rFonts w:ascii="Times New Roman CYR" w:hAnsi="Times New Roman CYR" w:cs="Times New Roman CYR"/>
              </w:rPr>
              <w:t>року обраний на посаду члена Ревiзiйної комiсiї строком на 3 роки.</w:t>
            </w:r>
          </w:p>
        </w:tc>
        <w:tc>
          <w:tcPr>
            <w:tcW w:w="316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Ревiзiйної комiсiї в межах своєї компетенцiї, встановленої чинним законодавством України, Статутом, положеннями Товариства, забезпечує захист прав акцiонерiв Товариства, здiйснює контр</w:t>
            </w:r>
            <w:r>
              <w:rPr>
                <w:rFonts w:ascii="Times New Roman CYR" w:hAnsi="Times New Roman CYR" w:cs="Times New Roman CYR"/>
              </w:rPr>
              <w:t>оль за фiнансово-господарською дiяльнiстю Товариства.</w:t>
            </w:r>
          </w:p>
        </w:tc>
        <w:tc>
          <w:tcPr>
            <w:tcW w:w="310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Ревiзiйна комiсiя обирається загальними зборами в порядку, передбаченому чинним законодавством України, Статутом та положенням про загальнi збори акцiонерiв  Товариства, з числа фiзичних осiб строком на</w:t>
            </w:r>
            <w:r>
              <w:rPr>
                <w:rFonts w:ascii="Times New Roman CYR" w:hAnsi="Times New Roman CYR" w:cs="Times New Roman CYR"/>
              </w:rPr>
              <w:t xml:space="preserve"> 3 (три) роки.</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Большаков Iлля Володимирович</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c>
          <w:tcPr>
            <w:tcW w:w="314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Ревiзiйної комiсiї. Вiдповiдно до рiшення Загальних зборiв ПРАТ "УШИЦЬКИЙ КОМБIНАТ БУДIВЕЛЬНИХ МАТЕРIАЛIВ" вiд 26.03.2021 року та рiшення Ревiзiйної комiсiї обраний на посаду Голови Ревiзiйної комiсiї строком на 3 роки.</w:t>
            </w:r>
          </w:p>
        </w:tc>
        <w:tc>
          <w:tcPr>
            <w:tcW w:w="316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Ревiзiйної комiсiї зоб</w:t>
            </w:r>
            <w:r>
              <w:rPr>
                <w:rFonts w:ascii="Times New Roman CYR" w:hAnsi="Times New Roman CYR" w:cs="Times New Roman CYR"/>
              </w:rPr>
              <w:t>ов'язаний:</w:t>
            </w:r>
          </w:p>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Органiзовувати роботу Ревiзiйної комiсiї, скликати засiдання Ревiзiйної комiсiї, забезпечувати пiдготовку документiв, необхiдних для проведення засiдання Ревiзiйної комiсiї, органiзовувати ведення протоколiв засiдань Ревiзiйної комiсiї. Вiд iмен</w:t>
            </w:r>
            <w:r>
              <w:rPr>
                <w:rFonts w:ascii="Times New Roman CYR" w:hAnsi="Times New Roman CYR" w:cs="Times New Roman CYR"/>
              </w:rPr>
              <w:t>i Ревiзiйної комiсiї доповiдати на Загальних зборах акцiонерiв Товариства. Виконувати iншi обов'язки, якi покладаються на нього Статутом, положеннями Товариства.</w:t>
            </w:r>
          </w:p>
        </w:tc>
        <w:tc>
          <w:tcPr>
            <w:tcW w:w="310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Ревiзiйна комiсiя обирається загальними зборами в порядку, передбаченому чинним законодавством</w:t>
            </w:r>
            <w:r>
              <w:rPr>
                <w:rFonts w:ascii="Times New Roman CYR" w:hAnsi="Times New Roman CYR" w:cs="Times New Roman CYR"/>
              </w:rPr>
              <w:t xml:space="preserve"> України, Статутом та положенням про загальнi збори акцiонерiв  Товариства, з числа фiзичних осiб строком на 3 (три) роки. Голова Ревiзiйної комiсiї Товариства обирається на першому засiданнi комiсiї членами Ревiзiйної комiсiї з їх числа простою бiльшiстю </w:t>
            </w:r>
            <w:r>
              <w:rPr>
                <w:rFonts w:ascii="Times New Roman CYR" w:hAnsi="Times New Roman CYR" w:cs="Times New Roman CYR"/>
              </w:rPr>
              <w:t>голосiв вiд кiлькiсного складу Ревiзiйної комiсiї.</w:t>
            </w:r>
          </w:p>
        </w:tc>
      </w:tr>
    </w:tbl>
    <w:p w:rsidR="00000000" w:rsidRDefault="00A168CC">
      <w:pPr>
        <w:widowControl w:val="0"/>
        <w:autoSpaceDE w:val="0"/>
        <w:autoSpaceDN w:val="0"/>
        <w:adjustRightInd w:val="0"/>
        <w:spacing w:after="0" w:line="240" w:lineRule="auto"/>
        <w:rPr>
          <w:rFonts w:ascii="Times New Roman CYR" w:hAnsi="Times New Roman CYR" w:cs="Times New Roman CYR"/>
        </w:rPr>
      </w:pPr>
    </w:p>
    <w:p w:rsidR="00000000" w:rsidRDefault="00A168CC">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A168C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Частина 14. Інформація від суб'єкта аудиторської діяльності з урахуванням вимог, передбачених пунктом 45 Положення</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пункту 45 Положення, приватнi акцiонернi товариства (крiм т</w:t>
      </w:r>
      <w:r>
        <w:rPr>
          <w:rFonts w:ascii="Times New Roman CYR" w:hAnsi="Times New Roman CYR" w:cs="Times New Roman CYR"/>
          <w:sz w:val="24"/>
          <w:szCs w:val="24"/>
        </w:rPr>
        <w:t>их, що становлять суспiльний iнтерес) мають право розкривати рiчну фiнансову звiтнiсть без перевiрки суб'єктом аудиторської дiяльностi.</w:t>
      </w: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15. Інформація, передбачена законодавством про діяльність та регулювання діяльності на ринку фінансових послуг</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VI. Список посилань на регульовану інформацію, яка була розкрита протягом звітного року</w:t>
      </w: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Особлива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особливої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550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розкривалася протягом звітного року</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500"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Вiдповiдно до рiшення позачергових Загальних зборiв ПРАТ "УШИЦЬКИЙ КОМБIНАТ БУДIВЕЛЬНИХ МАТЕРIАЛIВ" вiд 10.01.2023 року у зв'язку iз закiнченням строку дiї трудового контракту припиненi повноваження генерального директора Товариства Шуста О.В. з 13.01.2023</w:t>
            </w:r>
            <w:r>
              <w:rPr>
                <w:rFonts w:ascii="Times New Roman CYR" w:hAnsi="Times New Roman CYR" w:cs="Times New Roman CYR"/>
              </w:rPr>
              <w:t xml:space="preserve"> року. Венгловський Л.П. обраний на посаду генерального директора Товариства строком на один рiк з 14.01.2023 року по 13.01.2024 року. </w:t>
            </w:r>
          </w:p>
        </w:tc>
        <w:tc>
          <w:tcPr>
            <w:tcW w:w="15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13.09.2023</w:t>
            </w:r>
          </w:p>
        </w:tc>
        <w:tc>
          <w:tcPr>
            <w:tcW w:w="55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https://smida.gov.ua/db/feed/showform/person_o/98599</w:t>
            </w:r>
          </w:p>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https://ukbm.com.ua/?id=investors&amp;lang=ua</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Вiдповiдно до рiшення позачергових Загальних зборiв ПРАТ "УШИЦЬКИЙ КОМБIНАТ БУДIВЕЛЬНИХ МАТЕРIАЛIВ" вiд 03.05.2023 року у зв'язку iз закiнченням термiну перебування </w:t>
            </w:r>
            <w:r>
              <w:rPr>
                <w:rFonts w:ascii="Times New Roman CYR" w:hAnsi="Times New Roman CYR" w:cs="Times New Roman CYR"/>
              </w:rPr>
              <w:lastRenderedPageBreak/>
              <w:t xml:space="preserve">на посадi припиненi повноваження голови </w:t>
            </w:r>
            <w:r>
              <w:rPr>
                <w:rFonts w:ascii="Times New Roman CYR" w:hAnsi="Times New Roman CYR" w:cs="Times New Roman CYR"/>
              </w:rPr>
              <w:t>наглядової ради Шодiєва Алiшера Бахромовича та члена наглядової ради Андрюса Шедiса. Андрюс Шедiс обраний на посаду голови наглядової ради строком на три роки. Наталiя Коннiк обрана на посаду члена наглядової ради строком на три роки.</w:t>
            </w:r>
          </w:p>
        </w:tc>
        <w:tc>
          <w:tcPr>
            <w:tcW w:w="15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19.09.2023</w:t>
            </w:r>
          </w:p>
        </w:tc>
        <w:tc>
          <w:tcPr>
            <w:tcW w:w="55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w:t>
            </w:r>
            <w:r>
              <w:rPr>
                <w:rFonts w:ascii="Times New Roman CYR" w:hAnsi="Times New Roman CYR" w:cs="Times New Roman CYR"/>
              </w:rPr>
              <w:t>ida.gov.ua/db/feed/showform/person_o/98844</w:t>
            </w:r>
          </w:p>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https://ukbm.com.ua/?id=investors&amp;lang=ua</w:t>
            </w:r>
          </w:p>
        </w:tc>
      </w:tr>
    </w:tbl>
    <w:p w:rsidR="00000000" w:rsidRDefault="00A168CC">
      <w:pPr>
        <w:widowControl w:val="0"/>
        <w:autoSpaceDE w:val="0"/>
        <w:autoSpaceDN w:val="0"/>
        <w:adjustRightInd w:val="0"/>
        <w:spacing w:after="0" w:line="240" w:lineRule="auto"/>
        <w:rPr>
          <w:rFonts w:ascii="Times New Roman CYR" w:hAnsi="Times New Roman CYR" w:cs="Times New Roman CYR"/>
        </w:rPr>
      </w:pPr>
    </w:p>
    <w:p w:rsidR="00000000" w:rsidRDefault="00A168CC">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000000">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000000" w:rsidRDefault="00A168CC">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01.01.2024</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"Ушицький комбiнат будiвельних матерiалiв"</w:t>
            </w:r>
          </w:p>
        </w:tc>
        <w:tc>
          <w:tcPr>
            <w:tcW w:w="1654" w:type="dxa"/>
            <w:tcBorders>
              <w:top w:val="nil"/>
              <w:left w:val="nil"/>
              <w:bottom w:val="nil"/>
              <w:right w:val="single" w:sz="6" w:space="0" w:color="auto"/>
            </w:tcBorders>
            <w:vAlign w:val="center"/>
          </w:tcPr>
          <w:p w:rsidR="00000000" w:rsidRDefault="00A168CC">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00110177</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66" w:type="dxa"/>
            <w:tcBorders>
              <w:top w:val="nil"/>
              <w:left w:val="nil"/>
              <w:bottom w:val="nil"/>
              <w:right w:val="nil"/>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Житомирська обл.</w:t>
            </w:r>
          </w:p>
        </w:tc>
        <w:tc>
          <w:tcPr>
            <w:tcW w:w="1654" w:type="dxa"/>
            <w:tcBorders>
              <w:top w:val="nil"/>
              <w:left w:val="nil"/>
              <w:bottom w:val="nil"/>
              <w:right w:val="single" w:sz="6" w:space="0" w:color="auto"/>
            </w:tcBorders>
            <w:vAlign w:val="center"/>
          </w:tcPr>
          <w:p w:rsidR="00000000" w:rsidRDefault="00A168CC">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КАТОТТГ</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UA18060230090038025</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66" w:type="dxa"/>
            <w:tcBorders>
              <w:top w:val="nil"/>
              <w:left w:val="nil"/>
              <w:bottom w:val="nil"/>
              <w:right w:val="nil"/>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654" w:type="dxa"/>
            <w:tcBorders>
              <w:top w:val="nil"/>
              <w:left w:val="nil"/>
              <w:bottom w:val="nil"/>
              <w:right w:val="single" w:sz="6" w:space="0" w:color="auto"/>
            </w:tcBorders>
            <w:vAlign w:val="center"/>
          </w:tcPr>
          <w:p w:rsidR="00000000" w:rsidRDefault="00A168CC">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66" w:type="dxa"/>
            <w:tcBorders>
              <w:top w:val="nil"/>
              <w:left w:val="nil"/>
              <w:bottom w:val="nil"/>
              <w:right w:val="nil"/>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Добування декоративного та будівельного каменю, вапняку, гіпсу, крейди та глинистого сланцю</w:t>
            </w:r>
          </w:p>
        </w:tc>
        <w:tc>
          <w:tcPr>
            <w:tcW w:w="1654" w:type="dxa"/>
            <w:tcBorders>
              <w:top w:val="nil"/>
              <w:left w:val="nil"/>
              <w:bottom w:val="nil"/>
              <w:right w:val="single" w:sz="6" w:space="0" w:color="auto"/>
            </w:tcBorders>
            <w:vAlign w:val="center"/>
          </w:tcPr>
          <w:p w:rsidR="00000000" w:rsidRDefault="00A168CC">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r>
              <w:rPr>
                <w:rFonts w:ascii="Times New Roman CYR" w:hAnsi="Times New Roman CYR" w:cs="Times New Roman CYR"/>
              </w:rPr>
              <w:t>8.11</w:t>
            </w:r>
          </w:p>
        </w:tc>
      </w:tr>
    </w:tbl>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w:t>
      </w:r>
      <w:r>
        <w:rPr>
          <w:rFonts w:ascii="Times New Roman CYR" w:hAnsi="Times New Roman CYR" w:cs="Times New Roman CYR"/>
        </w:rPr>
        <w:t>91</w:t>
      </w:r>
    </w:p>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11563 с. Гулянка, вул.Молодiжна, буд. 18, 8 (097) 503-76-42, 8 (067) 412-09-30</w:t>
      </w:r>
    </w:p>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без десяткового знака</w:t>
      </w:r>
    </w:p>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Складено </w:t>
      </w:r>
      <w:r>
        <w:rPr>
          <w:rFonts w:ascii="Times New Roman CYR" w:hAnsi="Times New Roman CYR" w:cs="Times New Roman CYR"/>
        </w:rPr>
        <w:t>(зробити позначку "v" у відповідній клітинці):</w:t>
      </w:r>
    </w:p>
    <w:tbl>
      <w:tblPr>
        <w:tblW w:w="0" w:type="auto"/>
        <w:tblInd w:w="108" w:type="dxa"/>
        <w:tblLayout w:type="fixed"/>
        <w:tblLook w:val="0000" w:firstRow="0" w:lastRow="0" w:firstColumn="0" w:lastColumn="0" w:noHBand="0" w:noVBand="0"/>
      </w:tblPr>
      <w:tblGrid>
        <w:gridCol w:w="8280"/>
        <w:gridCol w:w="1720"/>
      </w:tblGrid>
      <w:tr w:rsidR="00000000">
        <w:tblPrEx>
          <w:tblCellMar>
            <w:top w:w="0" w:type="dxa"/>
            <w:bottom w:w="0" w:type="dxa"/>
          </w:tblCellMar>
        </w:tblPrEx>
        <w:trPr>
          <w:trHeight w:val="298"/>
        </w:trPr>
        <w:tc>
          <w:tcPr>
            <w:tcW w:w="8280" w:type="dxa"/>
            <w:vMerge w:val="restart"/>
            <w:tcBorders>
              <w:top w:val="nil"/>
              <w:left w:val="nil"/>
              <w:bottom w:val="nil"/>
              <w:right w:val="nil"/>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національними положеннями (стандартами) бухгалтерського обліку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98"/>
        </w:trPr>
        <w:tc>
          <w:tcPr>
            <w:tcW w:w="8280" w:type="dxa"/>
            <w:vMerge w:val="restart"/>
            <w:tcBorders>
              <w:top w:val="nil"/>
              <w:left w:val="nil"/>
              <w:bottom w:val="nil"/>
              <w:right w:val="nil"/>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міжнародними стандартами фінансової звітності</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v</w:t>
            </w:r>
          </w:p>
        </w:tc>
      </w:tr>
    </w:tbl>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Баланс</w:t>
      </w:r>
    </w:p>
    <w:p w:rsidR="00000000" w:rsidRDefault="00A168C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фінансовий стан)</w:t>
      </w:r>
    </w:p>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sz w:val="24"/>
          <w:szCs w:val="24"/>
        </w:rPr>
        <w:t>на 31.12.2023 p.</w:t>
      </w:r>
    </w:p>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000000">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000000" w:rsidRDefault="00A168C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1801001</w:t>
            </w:r>
          </w:p>
        </w:tc>
      </w:tr>
      <w:tr w:rsidR="00000000">
        <w:tblPrEx>
          <w:tblCellMar>
            <w:top w:w="0" w:type="dxa"/>
            <w:bottom w:w="0" w:type="dxa"/>
          </w:tblCellMar>
        </w:tblPrEx>
        <w:trPr>
          <w:trHeight w:val="3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3 713</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3 463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4 434</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4 434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( 721 )</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( 971 )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1 151</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1 151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33 062</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31 461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124 937</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125 852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( 91 875 )</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( 94 391 )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аквізиційні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у централізованих страхових резервних фондах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37 926</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36 075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7 789</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12 059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3 647</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3 797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1 837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4 061</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6 425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47 355</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22 946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17 392</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15 162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275</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2 715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1 073</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1 292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1 070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1 291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перестраховика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603</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1 309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74 517</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55 641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112 443</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91 716</w:t>
            </w:r>
          </w:p>
        </w:tc>
      </w:tr>
    </w:tbl>
    <w:p w:rsidR="00000000" w:rsidRDefault="00A168CC">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3 604</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3 604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9 545</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9 545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8 443</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8 443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1412</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656</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5 747</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-9 431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27 995</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12 817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5 763</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6 245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4 648</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4 648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1526</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1532</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1533</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1534</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 на виплату джек-поту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10 411</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10 893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33 501</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35 071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8 038</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2 649</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510</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2 574</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2 874</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2 788</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2 697</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комісійні доходи від перестраховиків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26 626</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27 175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74 037</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68 006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112 443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91 716</w:t>
            </w:r>
          </w:p>
        </w:tc>
      </w:tr>
    </w:tbl>
    <w:p w:rsidR="00000000" w:rsidRDefault="00A168C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A168CC">
      <w:pPr>
        <w:widowControl w:val="0"/>
        <w:autoSpaceDE w:val="0"/>
        <w:autoSpaceDN w:val="0"/>
        <w:adjustRightInd w:val="0"/>
        <w:spacing w:after="0" w:line="240" w:lineRule="auto"/>
        <w:jc w:val="both"/>
        <w:rPr>
          <w:rFonts w:ascii="Times New Roman CYR" w:hAnsi="Times New Roman CYR" w:cs="Times New Roman CYR"/>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Венгловський Леонiд Петрович</w:t>
      </w:r>
    </w:p>
    <w:p w:rsidR="00000000" w:rsidRDefault="00A168CC">
      <w:pPr>
        <w:widowControl w:val="0"/>
        <w:autoSpaceDE w:val="0"/>
        <w:autoSpaceDN w:val="0"/>
        <w:adjustRightInd w:val="0"/>
        <w:spacing w:after="0" w:line="240" w:lineRule="auto"/>
        <w:jc w:val="both"/>
        <w:rPr>
          <w:rFonts w:ascii="Times New Roman CYR" w:hAnsi="Times New Roman CYR" w:cs="Times New Roman CYR"/>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Миклуха Таїса Вiталiївна</w:t>
      </w:r>
    </w:p>
    <w:p w:rsidR="00000000" w:rsidRDefault="00A168CC">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000000">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000000" w:rsidRDefault="00A168CC">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29.01.2024</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"Ушицький комбiнат будiвельних матерiалiв"</w:t>
            </w:r>
          </w:p>
        </w:tc>
        <w:tc>
          <w:tcPr>
            <w:tcW w:w="1654" w:type="dxa"/>
            <w:tcBorders>
              <w:top w:val="nil"/>
              <w:left w:val="nil"/>
              <w:bottom w:val="nil"/>
              <w:right w:val="single" w:sz="6" w:space="0" w:color="auto"/>
            </w:tcBorders>
            <w:vAlign w:val="center"/>
          </w:tcPr>
          <w:p w:rsidR="00000000" w:rsidRDefault="00A168CC">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00110177</w:t>
            </w:r>
          </w:p>
        </w:tc>
      </w:tr>
    </w:tbl>
    <w:p w:rsidR="00000000" w:rsidRDefault="00A168CC">
      <w:pPr>
        <w:widowControl w:val="0"/>
        <w:autoSpaceDE w:val="0"/>
        <w:autoSpaceDN w:val="0"/>
        <w:adjustRightInd w:val="0"/>
        <w:spacing w:after="0" w:line="240" w:lineRule="auto"/>
        <w:rPr>
          <w:rFonts w:ascii="Times New Roman CYR" w:hAnsi="Times New Roman CYR" w:cs="Times New Roman CYR"/>
        </w:rPr>
      </w:pPr>
    </w:p>
    <w:p w:rsidR="00000000" w:rsidRDefault="00A168C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фінансові результати</w:t>
      </w:r>
    </w:p>
    <w:p w:rsidR="00000000" w:rsidRDefault="00A168C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сукупний дохід)</w:t>
      </w:r>
    </w:p>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2023 рік</w:t>
      </w:r>
    </w:p>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w:t>
      </w:r>
    </w:p>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000000">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000000" w:rsidRDefault="00A168C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1801003</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27 475</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26 271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( 18 553 )</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( 20 564 )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Валовий:</w:t>
            </w:r>
          </w:p>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8 922</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5 707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w:t>
            </w:r>
            <w:r>
              <w:rPr>
                <w:rFonts w:ascii="Times New Roman CYR" w:hAnsi="Times New Roman CYR" w:cs="Times New Roman CYR"/>
              </w:rPr>
              <w:t>и перестраховиків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4 010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первісного визнання біологічних</w:t>
            </w:r>
            <w:r>
              <w:rPr>
                <w:rFonts w:ascii="Times New Roman CYR" w:hAnsi="Times New Roman CYR" w:cs="Times New Roman CYR"/>
              </w:rPr>
              <w:t xml:space="preserve">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( 5 898 )</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( 5 414 )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( 12 272 )</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( 10 101 )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( 12 231 )</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( 8 948 )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від операційної діяльності:</w:t>
            </w:r>
          </w:p>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( 17 469 )</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( 18 448 )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369</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( 48 )</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до оподаткування:</w:t>
            </w:r>
          </w:p>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( 17 148 )</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( 18 448 )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фінансовий результат:</w:t>
            </w:r>
          </w:p>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( 17 148 )</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( 18 448 )</w:t>
            </w:r>
          </w:p>
        </w:tc>
      </w:tr>
    </w:tbl>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-17 148</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-18 448</w:t>
            </w:r>
          </w:p>
        </w:tc>
      </w:tr>
    </w:tbl>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13 355</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6 563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7 475</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10 108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1 356</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2 391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3 830</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3 624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17 013</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15 067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43 029</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37 753</w:t>
            </w:r>
          </w:p>
        </w:tc>
      </w:tr>
    </w:tbl>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ІV. 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14 414 776</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14 414 776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14 414 776</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14 414 776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-1,190000</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-1,280000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-1,190000</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-1,280000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2650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c>
          <w:tcPr>
            <w:tcW w:w="1645" w:type="dxa"/>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r>
    </w:tbl>
    <w:p w:rsidR="00000000" w:rsidRDefault="00A168C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A168CC">
      <w:pPr>
        <w:widowControl w:val="0"/>
        <w:autoSpaceDE w:val="0"/>
        <w:autoSpaceDN w:val="0"/>
        <w:adjustRightInd w:val="0"/>
        <w:spacing w:after="0" w:line="240" w:lineRule="auto"/>
        <w:jc w:val="both"/>
        <w:rPr>
          <w:rFonts w:ascii="Times New Roman CYR" w:hAnsi="Times New Roman CYR" w:cs="Times New Roman CYR"/>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Венгловський Леонiд Петрович</w:t>
      </w:r>
    </w:p>
    <w:p w:rsidR="00000000" w:rsidRDefault="00A168CC">
      <w:pPr>
        <w:widowControl w:val="0"/>
        <w:autoSpaceDE w:val="0"/>
        <w:autoSpaceDN w:val="0"/>
        <w:adjustRightInd w:val="0"/>
        <w:spacing w:after="0" w:line="240" w:lineRule="auto"/>
        <w:jc w:val="both"/>
        <w:rPr>
          <w:rFonts w:ascii="Times New Roman CYR" w:hAnsi="Times New Roman CYR" w:cs="Times New Roman CYR"/>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Миклуха Таїса Вiталiївна</w:t>
      </w:r>
    </w:p>
    <w:p w:rsidR="00000000" w:rsidRDefault="00A168CC">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50" w:type="dxa"/>
          <w:trHeight w:val="200"/>
        </w:trPr>
        <w:tc>
          <w:tcPr>
            <w:tcW w:w="1990" w:type="dxa"/>
            <w:tcBorders>
              <w:top w:val="nil"/>
              <w:left w:val="nil"/>
              <w:bottom w:val="nil"/>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01.01.2024</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"Ушицький комбiнат будiвельних матерiалiв"</w:t>
            </w:r>
          </w:p>
        </w:tc>
        <w:tc>
          <w:tcPr>
            <w:tcW w:w="1990" w:type="dxa"/>
            <w:tcBorders>
              <w:top w:val="nil"/>
              <w:left w:val="nil"/>
              <w:bottom w:val="nil"/>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00110177</w:t>
            </w:r>
          </w:p>
        </w:tc>
      </w:tr>
    </w:tbl>
    <w:p w:rsidR="00000000" w:rsidRDefault="00A168CC">
      <w:pPr>
        <w:widowControl w:val="0"/>
        <w:autoSpaceDE w:val="0"/>
        <w:autoSpaceDN w:val="0"/>
        <w:adjustRightInd w:val="0"/>
        <w:spacing w:after="0" w:line="240" w:lineRule="auto"/>
        <w:rPr>
          <w:rFonts w:ascii="Times New Roman CYR" w:hAnsi="Times New Roman CYR" w:cs="Times New Roman CYR"/>
        </w:rPr>
      </w:pPr>
    </w:p>
    <w:p w:rsidR="00000000" w:rsidRDefault="00A168CC">
      <w:pPr>
        <w:widowControl w:val="0"/>
        <w:autoSpaceDE w:val="0"/>
        <w:autoSpaceDN w:val="0"/>
        <w:adjustRightInd w:val="0"/>
        <w:spacing w:after="0" w:line="240" w:lineRule="auto"/>
        <w:rPr>
          <w:rFonts w:ascii="Times New Roman CYR" w:hAnsi="Times New Roman CYR" w:cs="Times New Roman CYR"/>
        </w:rPr>
      </w:pPr>
    </w:p>
    <w:p w:rsidR="00000000" w:rsidRDefault="00A168C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рух грошових коштів (за прямим методом)</w:t>
      </w:r>
    </w:p>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2023 рік</w:t>
      </w:r>
    </w:p>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A168C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A168CC">
            <w:pPr>
              <w:widowControl w:val="0"/>
              <w:autoSpaceDE w:val="0"/>
              <w:autoSpaceDN w:val="0"/>
              <w:adjustRightInd w:val="0"/>
              <w:spacing w:after="0" w:line="240" w:lineRule="auto"/>
              <w:jc w:val="right"/>
              <w:rPr>
                <w:rFonts w:ascii="Times New Roman CYR" w:hAnsi="Times New Roman CYR" w:cs="Times New Roman CYR"/>
              </w:rPr>
            </w:pPr>
          </w:p>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Рух коштів у результаті операційної діяльності</w:t>
            </w:r>
          </w:p>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60 154</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42 214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Повернення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Цільового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отримання субсидій, дотацій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авансів від покупців і замовників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відсотків за залишками коштів на поточних рахунках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боржників неустойки (штрафів, пені)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операційної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отримання роялті, авторських винагород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страхових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фінансових установ від повернення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оплату: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( 38 771 )</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( 35 012 )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( 5 661 )</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( 7 483 )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Відрахувань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( 2 022 )</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( 1 711 )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Зобов'язань з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( 11 595 )</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( 8 194 )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( 3 096 )</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( 1 720 )</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( 6 211 )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інших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3118</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( 6 779 )</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( 1 983 )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цільових внесків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за страховими контрактами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фінансових установ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витрачання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( 1 970 )</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( 619 )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операційної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-10 150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Рух коштів у результаті інвестиційної діяльності</w:t>
            </w:r>
          </w:p>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реалізації: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отриманих: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деривативів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w:t>
            </w:r>
            <w:r>
              <w:rPr>
                <w:rFonts w:ascii="Times New Roman CYR" w:hAnsi="Times New Roman CYR" w:cs="Times New Roman CYR"/>
              </w:rPr>
              <w:t xml:space="preserve"> від вибуття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Виплати за деривативами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інвестиційної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Рух коштів у результаті фінансової діяльності</w:t>
            </w:r>
          </w:p>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Власного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Отримання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1 034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продажу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Викуп власних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Сплату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заборгованості з фінансової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виплати неконтрольованим часткам у дочірніх підприємствах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фінансової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1 034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за звітний період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-9 116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початок року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1 073</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10 292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Вплив зміни валютних курсів на залишок коштів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кінець року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1 292</w:t>
            </w:r>
          </w:p>
        </w:tc>
        <w:tc>
          <w:tcPr>
            <w:tcW w:w="1645"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1 073</w:t>
            </w:r>
          </w:p>
        </w:tc>
      </w:tr>
    </w:tbl>
    <w:p w:rsidR="00000000" w:rsidRDefault="00A168C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A168CC">
      <w:pPr>
        <w:widowControl w:val="0"/>
        <w:autoSpaceDE w:val="0"/>
        <w:autoSpaceDN w:val="0"/>
        <w:adjustRightInd w:val="0"/>
        <w:spacing w:after="0" w:line="240" w:lineRule="auto"/>
        <w:jc w:val="both"/>
        <w:rPr>
          <w:rFonts w:ascii="Times New Roman CYR" w:hAnsi="Times New Roman CYR" w:cs="Times New Roman CYR"/>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Венгловський Леонiд Петрович</w:t>
      </w:r>
    </w:p>
    <w:p w:rsidR="00000000" w:rsidRDefault="00A168CC">
      <w:pPr>
        <w:widowControl w:val="0"/>
        <w:autoSpaceDE w:val="0"/>
        <w:autoSpaceDN w:val="0"/>
        <w:adjustRightInd w:val="0"/>
        <w:spacing w:after="0" w:line="240" w:lineRule="auto"/>
        <w:jc w:val="both"/>
        <w:rPr>
          <w:rFonts w:ascii="Times New Roman CYR" w:hAnsi="Times New Roman CYR" w:cs="Times New Roman CYR"/>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Миклуха Таїса Вiталiївна</w:t>
      </w:r>
    </w:p>
    <w:p w:rsidR="00000000" w:rsidRDefault="00A168CC">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tbl>
      <w:tblPr>
        <w:tblW w:w="0" w:type="auto"/>
        <w:tblInd w:w="3168" w:type="dxa"/>
        <w:tblLayout w:type="fixed"/>
        <w:tblLook w:val="0000" w:firstRow="0" w:lastRow="0" w:firstColumn="0" w:lastColumn="0" w:noHBand="0" w:noVBand="0"/>
      </w:tblPr>
      <w:tblGrid>
        <w:gridCol w:w="2240"/>
        <w:gridCol w:w="5500"/>
        <w:gridCol w:w="1800"/>
        <w:gridCol w:w="2000"/>
      </w:tblGrid>
      <w:tr w:rsidR="00000000">
        <w:tblPrEx>
          <w:tblCellMar>
            <w:top w:w="0" w:type="dxa"/>
            <w:bottom w:w="0" w:type="dxa"/>
          </w:tblCellMar>
        </w:tblPrEx>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7740" w:type="dxa"/>
          <w:trHeight w:val="298"/>
        </w:trPr>
        <w:tc>
          <w:tcPr>
            <w:tcW w:w="1800" w:type="dxa"/>
            <w:tcBorders>
              <w:top w:val="nil"/>
              <w:left w:val="nil"/>
              <w:bottom w:val="nil"/>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01.01.2024</w:t>
            </w:r>
          </w:p>
        </w:tc>
      </w:tr>
      <w:tr w:rsidR="00000000">
        <w:tblPrEx>
          <w:tblCellMar>
            <w:top w:w="0" w:type="dxa"/>
            <w:bottom w:w="0" w:type="dxa"/>
          </w:tblCellMar>
        </w:tblPrEx>
        <w:tc>
          <w:tcPr>
            <w:tcW w:w="2240" w:type="dxa"/>
            <w:tcBorders>
              <w:top w:val="nil"/>
              <w:left w:val="nil"/>
              <w:bottom w:val="nil"/>
              <w:right w:val="nil"/>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5500" w:type="dxa"/>
            <w:vMerge w:val="restart"/>
            <w:tcBorders>
              <w:top w:val="nil"/>
              <w:left w:val="nil"/>
              <w:bottom w:val="nil"/>
              <w:right w:val="nil"/>
            </w:tcBorders>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"Ушицький комбiнат будiвельних матерiалiв"</w:t>
            </w:r>
          </w:p>
        </w:tc>
        <w:tc>
          <w:tcPr>
            <w:tcW w:w="1800" w:type="dxa"/>
            <w:tcBorders>
              <w:top w:val="nil"/>
              <w:left w:val="nil"/>
              <w:bottom w:val="nil"/>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00110177</w:t>
            </w:r>
          </w:p>
        </w:tc>
      </w:tr>
    </w:tbl>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власний капітал</w:t>
      </w:r>
    </w:p>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2023 рік</w:t>
      </w:r>
    </w:p>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1250"/>
        <w:gridCol w:w="1100"/>
        <w:gridCol w:w="1350"/>
        <w:gridCol w:w="1300"/>
        <w:gridCol w:w="1200"/>
        <w:gridCol w:w="1300"/>
        <w:gridCol w:w="950"/>
        <w:gridCol w:w="550"/>
        <w:gridCol w:w="1250"/>
        <w:gridCol w:w="50"/>
        <w:gridCol w:w="1250"/>
      </w:tblGrid>
      <w:tr w:rsidR="00000000">
        <w:tblPrEx>
          <w:tblCellMar>
            <w:top w:w="0" w:type="dxa"/>
            <w:bottom w:w="0" w:type="dxa"/>
          </w:tblCellMar>
        </w:tblPrEx>
        <w:trPr>
          <w:gridBefore w:val="8"/>
          <w:wBefore w:w="11500" w:type="dxa"/>
          <w:trHeight w:val="280"/>
        </w:trPr>
        <w:tc>
          <w:tcPr>
            <w:tcW w:w="1800" w:type="dxa"/>
            <w:gridSpan w:val="2"/>
            <w:tcBorders>
              <w:top w:val="nil"/>
              <w:left w:val="nil"/>
              <w:bottom w:val="nil"/>
              <w:right w:val="single" w:sz="6" w:space="0" w:color="auto"/>
            </w:tcBorders>
            <w:vAlign w:val="center"/>
          </w:tcPr>
          <w:p w:rsidR="00000000" w:rsidRDefault="00A168C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00" w:type="dxa"/>
            <w:gridSpan w:val="2"/>
            <w:tcBorders>
              <w:top w:val="single" w:sz="6" w:space="0" w:color="auto"/>
              <w:left w:val="single" w:sz="6" w:space="0" w:color="auto"/>
              <w:bottom w:val="single" w:sz="6" w:space="0" w:color="auto"/>
            </w:tcBorders>
            <w:vAlign w:val="center"/>
          </w:tcPr>
          <w:p w:rsidR="00000000" w:rsidRDefault="00A168C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1801005</w:t>
            </w:r>
          </w:p>
        </w:tc>
      </w:tr>
      <w:tr w:rsidR="00000000">
        <w:tblPrEx>
          <w:tblCellMar>
            <w:top w:w="0" w:type="dxa"/>
            <w:bottom w:w="0" w:type="dxa"/>
          </w:tblCellMar>
        </w:tblPrEx>
        <w:trPr>
          <w:trHeight w:val="530"/>
        </w:trPr>
        <w:tc>
          <w:tcPr>
            <w:tcW w:w="3050" w:type="dxa"/>
            <w:tcBorders>
              <w:top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Зареєстрований капітал</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Капітал у дооцінках</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Додатковий капітал</w:t>
            </w:r>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Резервний капітал</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Неоплачений капітал</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Вилучений капітал</w:t>
            </w:r>
          </w:p>
        </w:tc>
        <w:tc>
          <w:tcPr>
            <w:tcW w:w="1250" w:type="dxa"/>
            <w:tcBorders>
              <w:top w:val="single" w:sz="6" w:space="0" w:color="auto"/>
              <w:left w:val="single" w:sz="6" w:space="0" w:color="auto"/>
              <w:bottom w:val="single" w:sz="6" w:space="0" w:color="auto"/>
            </w:tcBorders>
            <w:shd w:val="clear" w:color="auto" w:fill="E6E6E6"/>
            <w:vAlign w:val="center"/>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Всього</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shd w:val="clear" w:color="auto" w:fill="E6E6E6"/>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250" w:type="dxa"/>
            <w:tcBorders>
              <w:top w:val="single" w:sz="6" w:space="0" w:color="auto"/>
              <w:left w:val="single" w:sz="6" w:space="0" w:color="auto"/>
              <w:bottom w:val="single" w:sz="6" w:space="0" w:color="auto"/>
            </w:tcBorders>
            <w:shd w:val="clear" w:color="auto" w:fill="E6E6E6"/>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Залишок на початок року</w:t>
            </w:r>
          </w:p>
        </w:tc>
        <w:tc>
          <w:tcPr>
            <w:tcW w:w="12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4000</w:t>
            </w:r>
          </w:p>
        </w:tc>
        <w:tc>
          <w:tcPr>
            <w:tcW w:w="11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3 604</w:t>
            </w:r>
          </w:p>
        </w:tc>
        <w:tc>
          <w:tcPr>
            <w:tcW w:w="13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9 545</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8 443</w:t>
            </w:r>
          </w:p>
        </w:tc>
        <w:tc>
          <w:tcPr>
            <w:tcW w:w="1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656</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5 747</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27 995</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Коригування:</w:t>
            </w:r>
          </w:p>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облікової політики</w:t>
            </w:r>
          </w:p>
        </w:tc>
        <w:tc>
          <w:tcPr>
            <w:tcW w:w="12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4005</w:t>
            </w:r>
          </w:p>
        </w:tc>
        <w:tc>
          <w:tcPr>
            <w:tcW w:w="11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Виправлення помилок </w:t>
            </w:r>
          </w:p>
        </w:tc>
        <w:tc>
          <w:tcPr>
            <w:tcW w:w="12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4010</w:t>
            </w:r>
          </w:p>
        </w:tc>
        <w:tc>
          <w:tcPr>
            <w:tcW w:w="11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1 970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1 970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w:t>
            </w:r>
          </w:p>
        </w:tc>
        <w:tc>
          <w:tcPr>
            <w:tcW w:w="12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4090</w:t>
            </w:r>
          </w:p>
        </w:tc>
        <w:tc>
          <w:tcPr>
            <w:tcW w:w="11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Скоригований залишок на початок року </w:t>
            </w:r>
          </w:p>
        </w:tc>
        <w:tc>
          <w:tcPr>
            <w:tcW w:w="12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4095</w:t>
            </w:r>
          </w:p>
        </w:tc>
        <w:tc>
          <w:tcPr>
            <w:tcW w:w="11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3 604</w:t>
            </w:r>
          </w:p>
        </w:tc>
        <w:tc>
          <w:tcPr>
            <w:tcW w:w="13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9 545</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8 443</w:t>
            </w:r>
          </w:p>
        </w:tc>
        <w:tc>
          <w:tcPr>
            <w:tcW w:w="1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656</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7 717</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29 965</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4100</w:t>
            </w:r>
          </w:p>
        </w:tc>
        <w:tc>
          <w:tcPr>
            <w:tcW w:w="11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-17 148</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-17 148</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Інший сукупний дохід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4110</w:t>
            </w:r>
          </w:p>
        </w:tc>
        <w:tc>
          <w:tcPr>
            <w:tcW w:w="11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необоротних активів </w:t>
            </w:r>
          </w:p>
        </w:tc>
        <w:tc>
          <w:tcPr>
            <w:tcW w:w="12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4111</w:t>
            </w:r>
          </w:p>
        </w:tc>
        <w:tc>
          <w:tcPr>
            <w:tcW w:w="11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фінансових інструментів </w:t>
            </w:r>
          </w:p>
        </w:tc>
        <w:tc>
          <w:tcPr>
            <w:tcW w:w="12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4112</w:t>
            </w:r>
          </w:p>
        </w:tc>
        <w:tc>
          <w:tcPr>
            <w:tcW w:w="11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Накопичені курсові різниці </w:t>
            </w:r>
          </w:p>
        </w:tc>
        <w:tc>
          <w:tcPr>
            <w:tcW w:w="12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4113</w:t>
            </w:r>
          </w:p>
        </w:tc>
        <w:tc>
          <w:tcPr>
            <w:tcW w:w="11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Частка іншого сукупного доходу асоційованих і спільних підприємств </w:t>
            </w:r>
          </w:p>
        </w:tc>
        <w:tc>
          <w:tcPr>
            <w:tcW w:w="12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4114</w:t>
            </w:r>
          </w:p>
        </w:tc>
        <w:tc>
          <w:tcPr>
            <w:tcW w:w="11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Інший сукупний дохід </w:t>
            </w:r>
          </w:p>
        </w:tc>
        <w:tc>
          <w:tcPr>
            <w:tcW w:w="12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4116</w:t>
            </w:r>
          </w:p>
        </w:tc>
        <w:tc>
          <w:tcPr>
            <w:tcW w:w="11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Розподіл прибутку: </w:t>
            </w:r>
          </w:p>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Виплати власникам </w:t>
            </w:r>
          </w:p>
        </w:tc>
        <w:tc>
          <w:tcPr>
            <w:tcW w:w="12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4200</w:t>
            </w:r>
          </w:p>
        </w:tc>
        <w:tc>
          <w:tcPr>
            <w:tcW w:w="11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Спрямування прибутку до зареєстрованого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4205</w:t>
            </w:r>
          </w:p>
        </w:tc>
        <w:tc>
          <w:tcPr>
            <w:tcW w:w="11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Відрахування до резервного </w:t>
            </w:r>
            <w:r>
              <w:rPr>
                <w:rFonts w:ascii="Times New Roman CYR" w:hAnsi="Times New Roman CYR" w:cs="Times New Roman CYR"/>
              </w:rPr>
              <w:lastRenderedPageBreak/>
              <w:t xml:space="preserve">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4210</w:t>
            </w:r>
          </w:p>
        </w:tc>
        <w:tc>
          <w:tcPr>
            <w:tcW w:w="11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Су</w:t>
            </w:r>
            <w:r>
              <w:rPr>
                <w:rFonts w:ascii="Times New Roman CYR" w:hAnsi="Times New Roman CYR" w:cs="Times New Roman CYR"/>
              </w:rPr>
              <w:t xml:space="preserve">ма чистого прибутку, належна до бюджету відповідно до законодавства </w:t>
            </w:r>
          </w:p>
        </w:tc>
        <w:tc>
          <w:tcPr>
            <w:tcW w:w="12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4215</w:t>
            </w:r>
          </w:p>
        </w:tc>
        <w:tc>
          <w:tcPr>
            <w:tcW w:w="11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створення спеціальних (цільових) фондів </w:t>
            </w:r>
          </w:p>
        </w:tc>
        <w:tc>
          <w:tcPr>
            <w:tcW w:w="12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4220</w:t>
            </w:r>
          </w:p>
        </w:tc>
        <w:tc>
          <w:tcPr>
            <w:tcW w:w="11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матеріальне заохочення </w:t>
            </w:r>
          </w:p>
        </w:tc>
        <w:tc>
          <w:tcPr>
            <w:tcW w:w="12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4225</w:t>
            </w:r>
          </w:p>
        </w:tc>
        <w:tc>
          <w:tcPr>
            <w:tcW w:w="11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Внески учасників: </w:t>
            </w:r>
          </w:p>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Внески до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4240</w:t>
            </w:r>
          </w:p>
        </w:tc>
        <w:tc>
          <w:tcPr>
            <w:tcW w:w="11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Погашення заборгованості з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4245</w:t>
            </w:r>
          </w:p>
        </w:tc>
        <w:tc>
          <w:tcPr>
            <w:tcW w:w="11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Вилучення капіталу: </w:t>
            </w:r>
          </w:p>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Викуп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4260</w:t>
            </w:r>
          </w:p>
        </w:tc>
        <w:tc>
          <w:tcPr>
            <w:tcW w:w="11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Перепродаж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4265</w:t>
            </w:r>
          </w:p>
        </w:tc>
        <w:tc>
          <w:tcPr>
            <w:tcW w:w="11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Анулювання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4270</w:t>
            </w:r>
          </w:p>
        </w:tc>
        <w:tc>
          <w:tcPr>
            <w:tcW w:w="11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Вилучення частки в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4275</w:t>
            </w:r>
          </w:p>
        </w:tc>
        <w:tc>
          <w:tcPr>
            <w:tcW w:w="11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номінальної вартості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4280</w:t>
            </w:r>
          </w:p>
        </w:tc>
        <w:tc>
          <w:tcPr>
            <w:tcW w:w="11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в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4290</w:t>
            </w:r>
          </w:p>
        </w:tc>
        <w:tc>
          <w:tcPr>
            <w:tcW w:w="11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Придбання (продаж) неконтрольованої частки в дочірньому підприємстві </w:t>
            </w:r>
          </w:p>
        </w:tc>
        <w:tc>
          <w:tcPr>
            <w:tcW w:w="12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4291</w:t>
            </w:r>
          </w:p>
        </w:tc>
        <w:tc>
          <w:tcPr>
            <w:tcW w:w="11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змін у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4295</w:t>
            </w:r>
          </w:p>
        </w:tc>
        <w:tc>
          <w:tcPr>
            <w:tcW w:w="11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-17 148</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-17 148</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A168C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Залишок на кінець року </w:t>
            </w:r>
          </w:p>
        </w:tc>
        <w:tc>
          <w:tcPr>
            <w:tcW w:w="12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4300</w:t>
            </w:r>
          </w:p>
        </w:tc>
        <w:tc>
          <w:tcPr>
            <w:tcW w:w="11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3 604</w:t>
            </w:r>
          </w:p>
        </w:tc>
        <w:tc>
          <w:tcPr>
            <w:tcW w:w="135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9 545</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8 443</w:t>
            </w:r>
          </w:p>
        </w:tc>
        <w:tc>
          <w:tcPr>
            <w:tcW w:w="12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656</w:t>
            </w:r>
          </w:p>
        </w:tc>
        <w:tc>
          <w:tcPr>
            <w:tcW w:w="1300" w:type="dxa"/>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-9 431</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A168C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12 817</w:t>
            </w:r>
          </w:p>
        </w:tc>
      </w:tr>
    </w:tbl>
    <w:p w:rsidR="00000000" w:rsidRDefault="00A168C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A168CC">
      <w:pPr>
        <w:widowControl w:val="0"/>
        <w:autoSpaceDE w:val="0"/>
        <w:autoSpaceDN w:val="0"/>
        <w:adjustRightInd w:val="0"/>
        <w:spacing w:after="0" w:line="240" w:lineRule="auto"/>
        <w:jc w:val="both"/>
        <w:rPr>
          <w:rFonts w:ascii="Times New Roman CYR" w:hAnsi="Times New Roman CYR" w:cs="Times New Roman CYR"/>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Венгловський Леонiд Петрович</w:t>
      </w:r>
    </w:p>
    <w:p w:rsidR="00000000" w:rsidRDefault="00A168CC">
      <w:pPr>
        <w:widowControl w:val="0"/>
        <w:autoSpaceDE w:val="0"/>
        <w:autoSpaceDN w:val="0"/>
        <w:adjustRightInd w:val="0"/>
        <w:spacing w:after="0" w:line="240" w:lineRule="auto"/>
        <w:jc w:val="both"/>
        <w:rPr>
          <w:rFonts w:ascii="Times New Roman CYR" w:hAnsi="Times New Roman CYR" w:cs="Times New Roman CYR"/>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Миклуха Таїса Вiталiївна</w:t>
      </w:r>
    </w:p>
    <w:p w:rsidR="00000000" w:rsidRDefault="00A168CC">
      <w:pPr>
        <w:widowControl w:val="0"/>
        <w:autoSpaceDE w:val="0"/>
        <w:autoSpaceDN w:val="0"/>
        <w:adjustRightInd w:val="0"/>
        <w:spacing w:after="0" w:line="240" w:lineRule="auto"/>
        <w:jc w:val="both"/>
        <w:rPr>
          <w:rFonts w:ascii="Times New Roman CYR" w:hAnsi="Times New Roman CYR" w:cs="Times New Roman CYR"/>
        </w:rPr>
        <w:sectPr w:rsidR="00000000">
          <w:pgSz w:w="16838" w:h="11906" w:orient="landscape"/>
          <w:pgMar w:top="570" w:right="720" w:bottom="570" w:left="720" w:header="720" w:footer="720" w:gutter="0"/>
          <w:cols w:space="720"/>
          <w:noEndnote/>
        </w:sectPr>
      </w:pPr>
    </w:p>
    <w:p w:rsidR="00000000" w:rsidRDefault="00A168CC">
      <w:pPr>
        <w:widowControl w:val="0"/>
        <w:autoSpaceDE w:val="0"/>
        <w:autoSpaceDN w:val="0"/>
        <w:adjustRightInd w:val="0"/>
        <w:spacing w:after="0" w:line="240" w:lineRule="auto"/>
        <w:jc w:val="both"/>
        <w:rPr>
          <w:rFonts w:ascii="Times New Roman CYR" w:hAnsi="Times New Roman CYR" w:cs="Times New Roman CYR"/>
        </w:rPr>
        <w:sectPr w:rsidR="00000000">
          <w:pgSz w:w="16838" w:h="11906" w:orient="landscape"/>
          <w:pgMar w:top="570" w:right="720" w:bottom="570" w:left="720" w:header="720" w:footer="720" w:gutter="0"/>
          <w:cols w:space="720"/>
          <w:noEndnote/>
        </w:sectPr>
      </w:pPr>
    </w:p>
    <w:p w:rsidR="00000000" w:rsidRDefault="00A168C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Примітки до фінансової звітності, складеної відповідно до міжнародних стандартів фінансової звітності</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w:t>
      </w:r>
      <w:r>
        <w:rPr>
          <w:rFonts w:ascii="Times New Roman CYR" w:hAnsi="Times New Roman CYR" w:cs="Times New Roman CYR"/>
          <w:sz w:val="24"/>
          <w:szCs w:val="24"/>
        </w:rPr>
        <w:tab/>
        <w:t>Iсторична довiдка</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Промисловi розробки по видобутку та виробництву товарного щебню почались з 01.04.1960 року. Пiдприємство ранiше iснувало як Ушицький кам'яний кар'єр, який був пiдпорядкований Мiнiстерству енергетики СРСР, аз1991р. - Мiненерго України.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1993 роцi була пров</w:t>
      </w:r>
      <w:r>
        <w:rPr>
          <w:rFonts w:ascii="Times New Roman CYR" w:hAnsi="Times New Roman CYR" w:cs="Times New Roman CYR"/>
          <w:sz w:val="24"/>
          <w:szCs w:val="24"/>
        </w:rPr>
        <w:t>едена реорганiзацiя, в результатi якої пiдприємство виконує комплекс робiт вiд початкової стадiї (розкривнi та буро-вибуховi роботи) до випуску товарного щебню i його реалiзацiї, та було перейменоване в "Ушицький комбiнат будiвельних матерiалiв".</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пiдста</w:t>
      </w:r>
      <w:r>
        <w:rPr>
          <w:rFonts w:ascii="Times New Roman CYR" w:hAnsi="Times New Roman CYR" w:cs="Times New Roman CYR"/>
          <w:sz w:val="24"/>
          <w:szCs w:val="24"/>
        </w:rPr>
        <w:t>вi рiшення Фонду державного майна України вiд 25.06.99р. наказ № 59 ВАТ та зареєстрованого Коростенською районною державною адмiнiстрацiєю 30.06.99р., свiдоцтво №1 - 1020, державне пiдприємство Ушицький комбiнат будiвельних матерiалiв перетворене у ВАТ "Уш</w:t>
      </w:r>
      <w:r>
        <w:rPr>
          <w:rFonts w:ascii="Times New Roman CYR" w:hAnsi="Times New Roman CYR" w:cs="Times New Roman CYR"/>
          <w:sz w:val="24"/>
          <w:szCs w:val="24"/>
        </w:rPr>
        <w:t>ицький комбiнат будiвельних матерiалiв". Державна перереєстрацiя пiдприємства проведена 05.10.2004р.</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Рiшенням загальних зборiв акцiонерiв, протокол № 2 вiд 09 грудня 2010 року Пiдприємство перейменоване на Публiчне акцiонерне товариство "Ушицький комбiнат </w:t>
      </w:r>
      <w:r>
        <w:rPr>
          <w:rFonts w:ascii="Times New Roman CYR" w:hAnsi="Times New Roman CYR" w:cs="Times New Roman CYR"/>
          <w:sz w:val="24"/>
          <w:szCs w:val="24"/>
        </w:rPr>
        <w:t>будiвельних матерiалiв".</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Загальними зборами акцiонерiв Товариства, протокол №5 вiд 01 грудня 2017 року, прийнято рiшення про змiну типу акцiонерного товариства (з "публiчного" на "приватне") та вiдповiдну змiну повного та скороченого найменування пiдприємс</w:t>
      </w:r>
      <w:r>
        <w:rPr>
          <w:rFonts w:ascii="Times New Roman CYR" w:hAnsi="Times New Roman CYR" w:cs="Times New Roman CYR"/>
          <w:sz w:val="24"/>
          <w:szCs w:val="24"/>
        </w:rPr>
        <w:t xml:space="preserve">тва.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Земельнi дiлянки, на яких розташовано ПрАТ "УКБМ", наданi пiдприємству  в оренду Коростенською РДА (146,18 га, в т.ч. 12,2232 га -  на територiї Бiлкiвської, а 133,9569 га - на територiї Бондарiвської сiльської ради Коростенського району Житомирської</w:t>
      </w:r>
      <w:r>
        <w:rPr>
          <w:rFonts w:ascii="Times New Roman CYR" w:hAnsi="Times New Roman CYR" w:cs="Times New Roman CYR"/>
          <w:sz w:val="24"/>
          <w:szCs w:val="24"/>
        </w:rPr>
        <w:t xml:space="preserve"> областi), ГУ Держземагентства у Житомирськiй областi (54,0209 га на територiї Бондарiвської сiльради).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w:t>
      </w:r>
      <w:r>
        <w:rPr>
          <w:rFonts w:ascii="Times New Roman CYR" w:hAnsi="Times New Roman CYR" w:cs="Times New Roman CYR"/>
          <w:sz w:val="24"/>
          <w:szCs w:val="24"/>
        </w:rPr>
        <w:tab/>
        <w:t>Предмет дiяльностi i характеристика продукцiї</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Предметом дiяльностi Товариства є видобуток та виробництво товарного щебню (переробка гiрничої маси</w:t>
      </w:r>
      <w:r>
        <w:rPr>
          <w:rFonts w:ascii="Times New Roman CYR" w:hAnsi="Times New Roman CYR" w:cs="Times New Roman CYR"/>
          <w:sz w:val="24"/>
          <w:szCs w:val="24"/>
        </w:rPr>
        <w:t xml:space="preserve"> гранiту у товарний щебiнь). Номенклатура продукцiї: щебiнь фракцiй 5х10, 5х15, 5х20, 20х40, 40х70, 20х70, 25х60, 70х120. Супутня продукцiя - пiщано-щебенева сумiш (вiдсiв). Реалiзацiя (оптовий продаж)  власної готової продукцiї здiйснюється на ринку Украї</w:t>
      </w:r>
      <w:r>
        <w:rPr>
          <w:rFonts w:ascii="Times New Roman CYR" w:hAnsi="Times New Roman CYR" w:cs="Times New Roman CYR"/>
          <w:sz w:val="24"/>
          <w:szCs w:val="24"/>
        </w:rPr>
        <w:t xml:space="preserve">ни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п/п</w:t>
      </w:r>
      <w:r>
        <w:rPr>
          <w:rFonts w:ascii="Times New Roman CYR" w:hAnsi="Times New Roman CYR" w:cs="Times New Roman CYR"/>
          <w:sz w:val="24"/>
          <w:szCs w:val="24"/>
        </w:rPr>
        <w:tab/>
        <w:t>Показники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Тис. грн.</w:t>
      </w:r>
      <w:r>
        <w:rPr>
          <w:rFonts w:ascii="Times New Roman CYR" w:hAnsi="Times New Roman CYR" w:cs="Times New Roman CYR"/>
          <w:sz w:val="24"/>
          <w:szCs w:val="24"/>
        </w:rPr>
        <w:tab/>
        <w:t>Од-ця вимiру</w:t>
      </w:r>
      <w:r>
        <w:rPr>
          <w:rFonts w:ascii="Times New Roman CYR" w:hAnsi="Times New Roman CYR" w:cs="Times New Roman CYR"/>
          <w:sz w:val="24"/>
          <w:szCs w:val="24"/>
        </w:rPr>
        <w:tab/>
        <w:t xml:space="preserve">Факт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2017р.</w:t>
      </w:r>
      <w:r>
        <w:rPr>
          <w:rFonts w:ascii="Times New Roman CYR" w:hAnsi="Times New Roman CYR" w:cs="Times New Roman CYR"/>
          <w:sz w:val="24"/>
          <w:szCs w:val="24"/>
        </w:rPr>
        <w:tab/>
        <w:t>Факт</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2018р</w:t>
      </w:r>
      <w:r>
        <w:rPr>
          <w:rFonts w:ascii="Times New Roman CYR" w:hAnsi="Times New Roman CYR" w:cs="Times New Roman CYR"/>
          <w:sz w:val="24"/>
          <w:szCs w:val="24"/>
        </w:rPr>
        <w:tab/>
        <w:t xml:space="preserve">Факт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2019р.</w:t>
      </w:r>
      <w:r>
        <w:rPr>
          <w:rFonts w:ascii="Times New Roman CYR" w:hAnsi="Times New Roman CYR" w:cs="Times New Roman CYR"/>
          <w:sz w:val="24"/>
          <w:szCs w:val="24"/>
        </w:rPr>
        <w:tab/>
        <w:t xml:space="preserve">Факт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2020р..</w:t>
      </w:r>
      <w:r>
        <w:rPr>
          <w:rFonts w:ascii="Times New Roman CYR" w:hAnsi="Times New Roman CYR" w:cs="Times New Roman CYR"/>
          <w:sz w:val="24"/>
          <w:szCs w:val="24"/>
        </w:rPr>
        <w:tab/>
        <w:t xml:space="preserve">Факт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2021р</w:t>
      </w:r>
      <w:r>
        <w:rPr>
          <w:rFonts w:ascii="Times New Roman CYR" w:hAnsi="Times New Roman CYR" w:cs="Times New Roman CYR"/>
          <w:sz w:val="24"/>
          <w:szCs w:val="24"/>
        </w:rPr>
        <w:tab/>
        <w:t xml:space="preserve">Факт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2022р</w:t>
      </w:r>
      <w:r>
        <w:rPr>
          <w:rFonts w:ascii="Times New Roman CYR" w:hAnsi="Times New Roman CYR" w:cs="Times New Roman CYR"/>
          <w:sz w:val="24"/>
          <w:szCs w:val="24"/>
        </w:rPr>
        <w:tab/>
        <w:t xml:space="preserve">Факт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2023р.</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w:t>
      </w:r>
      <w:r>
        <w:rPr>
          <w:rFonts w:ascii="Times New Roman CYR" w:hAnsi="Times New Roman CYR" w:cs="Times New Roman CYR"/>
          <w:sz w:val="24"/>
          <w:szCs w:val="24"/>
        </w:rPr>
        <w:tab/>
        <w:t>Товарна продукцiя</w:t>
      </w:r>
      <w:r>
        <w:rPr>
          <w:rFonts w:ascii="Times New Roman CYR" w:hAnsi="Times New Roman CYR" w:cs="Times New Roman CYR"/>
          <w:sz w:val="24"/>
          <w:szCs w:val="24"/>
        </w:rPr>
        <w:tab/>
        <w:t>т.грн.</w:t>
      </w:r>
      <w:r>
        <w:rPr>
          <w:rFonts w:ascii="Times New Roman CYR" w:hAnsi="Times New Roman CYR" w:cs="Times New Roman CYR"/>
          <w:sz w:val="24"/>
          <w:szCs w:val="24"/>
        </w:rPr>
        <w:tab/>
        <w:t>121557</w:t>
      </w:r>
      <w:r>
        <w:rPr>
          <w:rFonts w:ascii="Times New Roman CYR" w:hAnsi="Times New Roman CYR" w:cs="Times New Roman CYR"/>
          <w:sz w:val="24"/>
          <w:szCs w:val="24"/>
        </w:rPr>
        <w:tab/>
        <w:t>148226</w:t>
      </w:r>
      <w:r>
        <w:rPr>
          <w:rFonts w:ascii="Times New Roman CYR" w:hAnsi="Times New Roman CYR" w:cs="Times New Roman CYR"/>
          <w:sz w:val="24"/>
          <w:szCs w:val="24"/>
        </w:rPr>
        <w:tab/>
        <w:t>139315</w:t>
      </w:r>
      <w:r>
        <w:rPr>
          <w:rFonts w:ascii="Times New Roman CYR" w:hAnsi="Times New Roman CYR" w:cs="Times New Roman CYR"/>
          <w:sz w:val="24"/>
          <w:szCs w:val="24"/>
        </w:rPr>
        <w:tab/>
        <w:t>89242</w:t>
      </w:r>
      <w:r>
        <w:rPr>
          <w:rFonts w:ascii="Times New Roman CYR" w:hAnsi="Times New Roman CYR" w:cs="Times New Roman CYR"/>
          <w:sz w:val="24"/>
          <w:szCs w:val="24"/>
        </w:rPr>
        <w:tab/>
        <w:t>77378</w:t>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Реалiзацiя</w:t>
      </w:r>
      <w:r>
        <w:rPr>
          <w:rFonts w:ascii="Times New Roman CYR" w:hAnsi="Times New Roman CYR" w:cs="Times New Roman CYR"/>
          <w:sz w:val="24"/>
          <w:szCs w:val="24"/>
        </w:rPr>
        <w:tab/>
        <w:t>т.грн.</w:t>
      </w:r>
      <w:r>
        <w:rPr>
          <w:rFonts w:ascii="Times New Roman CYR" w:hAnsi="Times New Roman CYR" w:cs="Times New Roman CYR"/>
          <w:sz w:val="24"/>
          <w:szCs w:val="24"/>
        </w:rPr>
        <w:tab/>
        <w:t>114919</w:t>
      </w:r>
      <w:r>
        <w:rPr>
          <w:rFonts w:ascii="Times New Roman CYR" w:hAnsi="Times New Roman CYR" w:cs="Times New Roman CYR"/>
          <w:sz w:val="24"/>
          <w:szCs w:val="24"/>
        </w:rPr>
        <w:tab/>
        <w:t>137224</w:t>
      </w:r>
      <w:r>
        <w:rPr>
          <w:rFonts w:ascii="Times New Roman CYR" w:hAnsi="Times New Roman CYR" w:cs="Times New Roman CYR"/>
          <w:sz w:val="24"/>
          <w:szCs w:val="24"/>
        </w:rPr>
        <w:tab/>
        <w:t>129658</w:t>
      </w:r>
      <w:r>
        <w:rPr>
          <w:rFonts w:ascii="Times New Roman CYR" w:hAnsi="Times New Roman CYR" w:cs="Times New Roman CYR"/>
          <w:sz w:val="24"/>
          <w:szCs w:val="24"/>
        </w:rPr>
        <w:tab/>
        <w:t>102369</w:t>
      </w:r>
      <w:r>
        <w:rPr>
          <w:rFonts w:ascii="Times New Roman CYR" w:hAnsi="Times New Roman CYR" w:cs="Times New Roman CYR"/>
          <w:sz w:val="24"/>
          <w:szCs w:val="24"/>
        </w:rPr>
        <w:tab/>
        <w:t>157572</w:t>
      </w:r>
      <w:r>
        <w:rPr>
          <w:rFonts w:ascii="Times New Roman CYR" w:hAnsi="Times New Roman CYR" w:cs="Times New Roman CYR"/>
          <w:sz w:val="24"/>
          <w:szCs w:val="24"/>
        </w:rPr>
        <w:tab/>
        <w:t>18819</w:t>
      </w:r>
      <w:r>
        <w:rPr>
          <w:rFonts w:ascii="Times New Roman CYR" w:hAnsi="Times New Roman CYR" w:cs="Times New Roman CYR"/>
          <w:sz w:val="24"/>
          <w:szCs w:val="24"/>
        </w:rPr>
        <w:tab/>
        <w:t>31549</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Випуск щебню</w:t>
      </w:r>
      <w:r>
        <w:rPr>
          <w:rFonts w:ascii="Times New Roman CYR" w:hAnsi="Times New Roman CYR" w:cs="Times New Roman CYR"/>
          <w:sz w:val="24"/>
          <w:szCs w:val="24"/>
        </w:rPr>
        <w:tab/>
        <w:t>т.мЗ</w:t>
      </w:r>
      <w:r>
        <w:rPr>
          <w:rFonts w:ascii="Times New Roman CYR" w:hAnsi="Times New Roman CYR" w:cs="Times New Roman CYR"/>
          <w:sz w:val="24"/>
          <w:szCs w:val="24"/>
        </w:rPr>
        <w:tab/>
        <w:t>778,3</w:t>
      </w:r>
      <w:r>
        <w:rPr>
          <w:rFonts w:ascii="Times New Roman CYR" w:hAnsi="Times New Roman CYR" w:cs="Times New Roman CYR"/>
          <w:sz w:val="24"/>
          <w:szCs w:val="24"/>
        </w:rPr>
        <w:tab/>
        <w:t>714,1</w:t>
      </w:r>
      <w:r>
        <w:rPr>
          <w:rFonts w:ascii="Times New Roman CYR" w:hAnsi="Times New Roman CYR" w:cs="Times New Roman CYR"/>
          <w:sz w:val="24"/>
          <w:szCs w:val="24"/>
        </w:rPr>
        <w:tab/>
        <w:t>683,0</w:t>
      </w:r>
      <w:r>
        <w:rPr>
          <w:rFonts w:ascii="Times New Roman CYR" w:hAnsi="Times New Roman CYR" w:cs="Times New Roman CYR"/>
          <w:sz w:val="24"/>
          <w:szCs w:val="24"/>
        </w:rPr>
        <w:tab/>
        <w:t>450,6</w:t>
      </w:r>
      <w:r>
        <w:rPr>
          <w:rFonts w:ascii="Times New Roman CYR" w:hAnsi="Times New Roman CYR" w:cs="Times New Roman CYR"/>
          <w:sz w:val="24"/>
          <w:szCs w:val="24"/>
        </w:rPr>
        <w:tab/>
        <w:t>999,5</w:t>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Чисельнiсть</w:t>
      </w:r>
      <w:r>
        <w:rPr>
          <w:rFonts w:ascii="Times New Roman CYR" w:hAnsi="Times New Roman CYR" w:cs="Times New Roman CYR"/>
          <w:sz w:val="24"/>
          <w:szCs w:val="24"/>
        </w:rPr>
        <w:tab/>
        <w:t>чол.</w:t>
      </w:r>
      <w:r>
        <w:rPr>
          <w:rFonts w:ascii="Times New Roman CYR" w:hAnsi="Times New Roman CYR" w:cs="Times New Roman CYR"/>
          <w:sz w:val="24"/>
          <w:szCs w:val="24"/>
        </w:rPr>
        <w:tab/>
        <w:t>245</w:t>
      </w:r>
      <w:r>
        <w:rPr>
          <w:rFonts w:ascii="Times New Roman CYR" w:hAnsi="Times New Roman CYR" w:cs="Times New Roman CYR"/>
          <w:sz w:val="24"/>
          <w:szCs w:val="24"/>
        </w:rPr>
        <w:tab/>
        <w:t>259</w:t>
      </w:r>
      <w:r>
        <w:rPr>
          <w:rFonts w:ascii="Times New Roman CYR" w:hAnsi="Times New Roman CYR" w:cs="Times New Roman CYR"/>
          <w:sz w:val="24"/>
          <w:szCs w:val="24"/>
        </w:rPr>
        <w:tab/>
        <w:t>242</w:t>
      </w:r>
      <w:r>
        <w:rPr>
          <w:rFonts w:ascii="Times New Roman CYR" w:hAnsi="Times New Roman CYR" w:cs="Times New Roman CYR"/>
          <w:sz w:val="24"/>
          <w:szCs w:val="24"/>
        </w:rPr>
        <w:tab/>
        <w:t>221</w:t>
      </w:r>
      <w:r>
        <w:rPr>
          <w:rFonts w:ascii="Times New Roman CYR" w:hAnsi="Times New Roman CYR" w:cs="Times New Roman CYR"/>
          <w:sz w:val="24"/>
          <w:szCs w:val="24"/>
        </w:rPr>
        <w:tab/>
        <w:t>201</w:t>
      </w:r>
      <w:r>
        <w:rPr>
          <w:rFonts w:ascii="Times New Roman CYR" w:hAnsi="Times New Roman CYR" w:cs="Times New Roman CYR"/>
          <w:sz w:val="24"/>
          <w:szCs w:val="24"/>
        </w:rPr>
        <w:tab/>
        <w:t>181</w:t>
      </w:r>
      <w:r>
        <w:rPr>
          <w:rFonts w:ascii="Times New Roman CYR" w:hAnsi="Times New Roman CYR" w:cs="Times New Roman CYR"/>
          <w:sz w:val="24"/>
          <w:szCs w:val="24"/>
        </w:rPr>
        <w:tab/>
        <w:t>91</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Продуктивнiсть працi</w:t>
      </w:r>
      <w:r>
        <w:rPr>
          <w:rFonts w:ascii="Times New Roman CYR" w:hAnsi="Times New Roman CYR" w:cs="Times New Roman CYR"/>
          <w:sz w:val="24"/>
          <w:szCs w:val="24"/>
        </w:rPr>
        <w:tab/>
        <w:t>т.грн.</w:t>
      </w:r>
      <w:r>
        <w:rPr>
          <w:rFonts w:ascii="Times New Roman CYR" w:hAnsi="Times New Roman CYR" w:cs="Times New Roman CYR"/>
          <w:sz w:val="24"/>
          <w:szCs w:val="24"/>
        </w:rPr>
        <w:tab/>
        <w:t>41,3</w:t>
      </w:r>
      <w:r>
        <w:rPr>
          <w:rFonts w:ascii="Times New Roman CYR" w:hAnsi="Times New Roman CYR" w:cs="Times New Roman CYR"/>
          <w:sz w:val="24"/>
          <w:szCs w:val="24"/>
        </w:rPr>
        <w:tab/>
        <w:t>47,7</w:t>
      </w:r>
      <w:r>
        <w:rPr>
          <w:rFonts w:ascii="Times New Roman CYR" w:hAnsi="Times New Roman CYR" w:cs="Times New Roman CYR"/>
          <w:sz w:val="24"/>
          <w:szCs w:val="24"/>
        </w:rPr>
        <w:tab/>
        <w:t>48,0</w:t>
      </w:r>
      <w:r>
        <w:rPr>
          <w:rFonts w:ascii="Times New Roman CYR" w:hAnsi="Times New Roman CYR" w:cs="Times New Roman CYR"/>
          <w:sz w:val="24"/>
          <w:szCs w:val="24"/>
        </w:rPr>
        <w:tab/>
        <w:t>33,7</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також отримує доходи вiд надання платних послуг механiзмами, автотранспортом, послуги</w:t>
      </w:r>
      <w:r>
        <w:rPr>
          <w:rFonts w:ascii="Times New Roman CYR" w:hAnsi="Times New Roman CYR" w:cs="Times New Roman CYR"/>
          <w:sz w:val="24"/>
          <w:szCs w:val="24"/>
        </w:rPr>
        <w:t xml:space="preserve"> вiдповiдального зберiгання.</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Цiноутворення на пiдприємствi залежить вiд наступних факторiв:</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вартостi матерiально-технiчних ресурсiв;</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б) зносу обладнання та перiодичностi змiни зношених запасних частин;</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конкуренто-спроможностi продукцiї на ринку збуту;</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Щебiнь, вироблений пiдприємством проходить обов'язкову сертифiкацiю в Держстандартi України (сертифiкат вiдповiдностi), сертифiкацiю на допустимий вмiст радiонуклiдiв в лабораторiї Обласної CEC. Крiм тог</w:t>
      </w:r>
      <w:r>
        <w:rPr>
          <w:rFonts w:ascii="Times New Roman CYR" w:hAnsi="Times New Roman CYR" w:cs="Times New Roman CYR"/>
          <w:sz w:val="24"/>
          <w:szCs w:val="24"/>
        </w:rPr>
        <w:t>о, для країн зовнiшнього ринку проводиться сертифiкацiя в Торгово-промисловiй палатi України (сертифiкат  походження товару). Лабораторiєю пiдприємства на товар видається посвiдчення якостi.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w:t>
      </w:r>
      <w:r>
        <w:rPr>
          <w:rFonts w:ascii="Times New Roman CYR" w:hAnsi="Times New Roman CYR" w:cs="Times New Roman CYR"/>
          <w:sz w:val="24"/>
          <w:szCs w:val="24"/>
        </w:rPr>
        <w:tab/>
        <w:t xml:space="preserve">Опис виробничого процесу.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Початок виробничого процесу - ро</w:t>
      </w:r>
      <w:r>
        <w:rPr>
          <w:rFonts w:ascii="Times New Roman CYR" w:hAnsi="Times New Roman CYR" w:cs="Times New Roman CYR"/>
          <w:sz w:val="24"/>
          <w:szCs w:val="24"/>
        </w:rPr>
        <w:t>зкривнi роботи. На родовищi "Боброва Гора" був знятий м'який грунт розкривних порiд, та почався промисловий добуток гранiту з послiдуючим дробленням його на щебiнь.. Спецiальний дозвiл на користування надрами №2222 переоформлено 16.08.2000р., площа об'єкта</w:t>
      </w:r>
      <w:r>
        <w:rPr>
          <w:rFonts w:ascii="Times New Roman CYR" w:hAnsi="Times New Roman CYR" w:cs="Times New Roman CYR"/>
          <w:sz w:val="24"/>
          <w:szCs w:val="24"/>
        </w:rPr>
        <w:t>, територiї - 124,50 га, основнi види  корисних копалин:  гнейс, гранiт, дiабаз, мiгматит. Розробка родовищ ведеться з 1960 року. Станом на 31.12.2023 забезпечення пiдприємства в роках балансовими запасами складає 96 рокiв (до 2120 року). У 2018 року уклад</w:t>
      </w:r>
      <w:r>
        <w:rPr>
          <w:rFonts w:ascii="Times New Roman CYR" w:hAnsi="Times New Roman CYR" w:cs="Times New Roman CYR"/>
          <w:sz w:val="24"/>
          <w:szCs w:val="24"/>
        </w:rPr>
        <w:t>ено угоду №2222 (є додатком до спецiального дозволу) вiд 02.04.2018 про умови користування надрами з метою видобування корисних копалин з Державною службою геологiї та надр України.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Стадiї розробки такi: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Буро-вибуховi роботи в процесi яких проходить бур</w:t>
      </w:r>
      <w:r>
        <w:rPr>
          <w:rFonts w:ascii="Times New Roman CYR" w:hAnsi="Times New Roman CYR" w:cs="Times New Roman CYR"/>
          <w:sz w:val="24"/>
          <w:szCs w:val="24"/>
        </w:rPr>
        <w:t>iння свердловин дiаметром 215мм., глибиною 16 метрiв, в якi потiм закладаються вибуховi речовини та проводиться вибух. Вихiд гiрничої маси, яка здатна для переробки в щебiнь складає 85%. Великi глиби гранiту пiдлягають подальшому подрiбненню. Основне облад</w:t>
      </w:r>
      <w:r>
        <w:rPr>
          <w:rFonts w:ascii="Times New Roman CYR" w:hAnsi="Times New Roman CYR" w:cs="Times New Roman CYR"/>
          <w:sz w:val="24"/>
          <w:szCs w:val="24"/>
        </w:rPr>
        <w:t>нання, яке використовується в буро-вибухових роботах, це буровi верстати 4 СБШ - 200, 5 СБШ - 200, ШПА - З М та автомобiль МАЗ -504 М з бункером для засипки вибухових речовин в свердловини. Компресор ПР -10 М подає стисле повiтря для роботи верстатом ШПА -</w:t>
      </w:r>
      <w:r>
        <w:rPr>
          <w:rFonts w:ascii="Times New Roman CYR" w:hAnsi="Times New Roman CYR" w:cs="Times New Roman CYR"/>
          <w:sz w:val="24"/>
          <w:szCs w:val="24"/>
        </w:rPr>
        <w:t xml:space="preserve"> З М, також подрiбнення проводиться гiдро молотом Н400 на базi ЕО 5124.</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Наступний етап - екскавацiя гiрничої маси екскаватором ЕКГ -5А, або дизельним екскаватором в автомобiлi Бел АЗ - 540 А, якi транспортують її до дробильно-сортувального заводу та зав</w:t>
      </w:r>
      <w:r>
        <w:rPr>
          <w:rFonts w:ascii="Times New Roman CYR" w:hAnsi="Times New Roman CYR" w:cs="Times New Roman CYR"/>
          <w:sz w:val="24"/>
          <w:szCs w:val="24"/>
        </w:rPr>
        <w:t>антажують в приймальний бункер живильника.</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 xml:space="preserve">Третiй етап - дроблення гiрничої маси. В процесi дроблення використовуються дробарки первинного дроблення СМД - 118, середнього КСД -2200, та дрiбного КМД -2200 , Конусна дробарка GR 550; Дробарка HCU 7/65. По </w:t>
      </w:r>
      <w:r>
        <w:rPr>
          <w:rFonts w:ascii="Times New Roman CYR" w:hAnsi="Times New Roman CYR" w:cs="Times New Roman CYR"/>
          <w:sz w:val="24"/>
          <w:szCs w:val="24"/>
        </w:rPr>
        <w:t>конвеєрах подрiбнена гiрнича маса направляється на грохочення та сортування, де проходить роздiл на фракцiї та складування товарного щебню.</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Наступний етап -  пересiв вiдсiву, вiдбiр дрiбних фракцiй (2х5; 5х10).</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Зi складiв товарний щебiнь iде на вiдва</w:t>
      </w:r>
      <w:r>
        <w:rPr>
          <w:rFonts w:ascii="Times New Roman CYR" w:hAnsi="Times New Roman CYR" w:cs="Times New Roman CYR"/>
          <w:sz w:val="24"/>
          <w:szCs w:val="24"/>
        </w:rPr>
        <w:t>нтаження до споживача за допомогою конвеєрiв та фронтальних навантажувачiв в залiзничнi вагони або  автотранспорт.</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Пiдприємству виданi ТУ Держгiрпромнагляду у Житомирськiй областi,  Управлiнням держпрацi у Житомирськiй областi належнi Дозволи на виконання </w:t>
      </w:r>
      <w:r>
        <w:rPr>
          <w:rFonts w:ascii="Times New Roman CYR" w:hAnsi="Times New Roman CYR" w:cs="Times New Roman CYR"/>
          <w:sz w:val="24"/>
          <w:szCs w:val="24"/>
        </w:rPr>
        <w:t>робiт пiдвищеної небезпеки та експлуатацiю обладнання пiдвищеної небезпеки.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ОСНОВИ ПРЕДСТАВЛЕННЯ ФIНАНСОВОЇ ЗВIТНОСТI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Заява про вiдповiдальнiсть керiвництва щодо пiдготовки та затвердження фiнансової звiтностi за рiк, який закiнчився 31 грудня 202</w:t>
      </w:r>
      <w:r>
        <w:rPr>
          <w:rFonts w:ascii="Times New Roman CYR" w:hAnsi="Times New Roman CYR" w:cs="Times New Roman CYR"/>
          <w:sz w:val="24"/>
          <w:szCs w:val="24"/>
        </w:rPr>
        <w:t>3 року</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несе вiдповiдальнiсть за пiдготовку фiнансової звiтностi, яка достовiрно подає фiнансовий стан Приватного акцiонерного товариства "Ушицький комбiнат будiвельних матерiалiв" станом на 31 грудня 2023 року, а також результати його дiяльност</w:t>
      </w:r>
      <w:r>
        <w:rPr>
          <w:rFonts w:ascii="Times New Roman CYR" w:hAnsi="Times New Roman CYR" w:cs="Times New Roman CYR"/>
          <w:sz w:val="24"/>
          <w:szCs w:val="24"/>
        </w:rPr>
        <w:t xml:space="preserve">i за рiк, що закiнчується 31 грудня 2023 року, рух грошових коштiв та змiни в капiталi, у вiдповiдностi до Мiжнародних стандартiв фiнансової звiтностi (надалi - "МСФЗ").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пiдготовцi фiнансової звiтностi керiвництво несе вiдповiдальнiсть за: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вибiр вi</w:t>
      </w:r>
      <w:r>
        <w:rPr>
          <w:rFonts w:ascii="Times New Roman CYR" w:hAnsi="Times New Roman CYR" w:cs="Times New Roman CYR"/>
          <w:sz w:val="24"/>
          <w:szCs w:val="24"/>
        </w:rPr>
        <w:t>дповiдних принципiв бухгалтерського облiку та послiдовне застосування цих принципiв;</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прийняття суджень та оцiнок, якi є обгрунтованими та зваженими;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iнформування про те, чи виконувались вимоги МСФЗ, а також розкриття i пояснення будь-яких iстотних вiд</w:t>
      </w:r>
      <w:r>
        <w:rPr>
          <w:rFonts w:ascii="Times New Roman CYR" w:hAnsi="Times New Roman CYR" w:cs="Times New Roman CYR"/>
          <w:sz w:val="24"/>
          <w:szCs w:val="24"/>
        </w:rPr>
        <w:t>ступiв вiд них у звiтностi;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t>пiдготовку звiтностi Товариства як органiзацiї, яка здатна продовжувати дiяльнiсть на безперервнiй основi, якщо не iснують у найближчому майбутньому передумови, якi б свiдчили про протилежне.</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також несе вiдповiдаль</w:t>
      </w:r>
      <w:r>
        <w:rPr>
          <w:rFonts w:ascii="Times New Roman CYR" w:hAnsi="Times New Roman CYR" w:cs="Times New Roman CYR"/>
          <w:sz w:val="24"/>
          <w:szCs w:val="24"/>
        </w:rPr>
        <w:t>нiсть за:</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створення, впровадження та пiдтримання у Товариствi ефективної та надiйної системи внутрiшнього контролю;</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ведення достовiрної облiкової документацiї, яка б розкривала з обгрунтованою впевненiстю у будь-який час фiнансовий стан Товариства i ко</w:t>
      </w:r>
      <w:r>
        <w:rPr>
          <w:rFonts w:ascii="Times New Roman CYR" w:hAnsi="Times New Roman CYR" w:cs="Times New Roman CYR"/>
          <w:sz w:val="24"/>
          <w:szCs w:val="24"/>
        </w:rPr>
        <w:t>тра б свiдчила про те, що фiнансова звiтнiсть вiдповiдає вимогам МСФЗ;</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ведення облiкової документацiї у вiдповiдностi до законодавства України та МСФЗ;</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застосування необхiдних заходiв щодо збереження активiв Товариства;</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r>
        <w:rPr>
          <w:rFonts w:ascii="Times New Roman CYR" w:hAnsi="Times New Roman CYR" w:cs="Times New Roman CYR"/>
          <w:sz w:val="24"/>
          <w:szCs w:val="24"/>
        </w:rPr>
        <w:t>виявлення i запобiгання випадкам шахрайства та iнших порушень.</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Вiдповiдальними особами за фiнансово-господарську дiяльнiсть у 2023 роцi були: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Генеральний директор Венгловський Леонiд Петрвич  - з 14.01. 2023 року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Основа складання фiнансової звiтно</w:t>
      </w:r>
      <w:r>
        <w:rPr>
          <w:rFonts w:ascii="Times New Roman CYR" w:hAnsi="Times New Roman CYR" w:cs="Times New Roman CYR"/>
          <w:sz w:val="24"/>
          <w:szCs w:val="24"/>
        </w:rPr>
        <w:t>стi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Товариства є фiнансовою звiтнiстю загального призначення, яка сформована з метою достовiрно подання фiнансового стану, фiнансових результатiв дiяльностi та грошових потокiв Товариства для задоволення iнформацiйних потреб широкого ко</w:t>
      </w:r>
      <w:r>
        <w:rPr>
          <w:rFonts w:ascii="Times New Roman CYR" w:hAnsi="Times New Roman CYR" w:cs="Times New Roman CYR"/>
          <w:sz w:val="24"/>
          <w:szCs w:val="24"/>
        </w:rPr>
        <w:t>ла користувачiв при прийняттi ними економiчних рiшень. Концептуальною основою фiнансової звiтностi Товариства за рiк, що закiнчився 31 грудня 2023 року, є Мiжнароднi стандарти фiнансової звiтностi (МСФЗ), включаючи Мiжнароднi стандарти бухгалтерського облi</w:t>
      </w:r>
      <w:r>
        <w:rPr>
          <w:rFonts w:ascii="Times New Roman CYR" w:hAnsi="Times New Roman CYR" w:cs="Times New Roman CYR"/>
          <w:sz w:val="24"/>
          <w:szCs w:val="24"/>
        </w:rPr>
        <w:t>ку (МСБО) та Тлумачення (КТМФЗ, ПКТ), виданi Радою з Мiжнародних стандартiв бухгалтерського облiку (РМСБО), в редакцiї чиннiй на 01 сiчня 2020 року, що офiцiйно оприлюдненнi на веб-сайтi Мiнiстерства фiнансiв України. Пiдготовлена Товариством фiнансова звi</w:t>
      </w:r>
      <w:r>
        <w:rPr>
          <w:rFonts w:ascii="Times New Roman CYR" w:hAnsi="Times New Roman CYR" w:cs="Times New Roman CYR"/>
          <w:sz w:val="24"/>
          <w:szCs w:val="24"/>
        </w:rPr>
        <w:t>тнiсть чiтко та без будь-яких застережень вiдповiдає всiм вимогам чинних МСФЗ з врахуванням змiн, внесених РМСБО станом на 31грудня 2020 року, дотримання яких забезпечує достовiрне подання iнформацiї в фiнансовiй звiтностi, а саме, доречної, достовiрної, з</w:t>
      </w:r>
      <w:r>
        <w:rPr>
          <w:rFonts w:ascii="Times New Roman CYR" w:hAnsi="Times New Roman CYR" w:cs="Times New Roman CYR"/>
          <w:sz w:val="24"/>
          <w:szCs w:val="24"/>
        </w:rPr>
        <w:t>iставної та зрозумiлої iнформацiї. При формуваннi фiнансової звiтностi Товариство керувалося також вимогами нацiональних законодавчих та нормативних актiв щодо органiзацiї i ведення бухгалтерського облiку та складання фiнансової звiтностi в Українi, якi не</w:t>
      </w:r>
      <w:r>
        <w:rPr>
          <w:rFonts w:ascii="Times New Roman CYR" w:hAnsi="Times New Roman CYR" w:cs="Times New Roman CYR"/>
          <w:sz w:val="24"/>
          <w:szCs w:val="24"/>
        </w:rPr>
        <w:t xml:space="preserve"> суперечать вимогам МСФЗ.</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 Перше застосування МСФЗ</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перейшло на Мiжнароднi стандарти фiнансової звiтностi (МСФЗ) 1 сiчня 2011 року вiдповiдно до положень МСФЗ (IFRS) 1 "Перше використання мiжнародних стандартiв фiнансової звiтностi". Керуючи</w:t>
      </w:r>
      <w:r>
        <w:rPr>
          <w:rFonts w:ascii="Times New Roman CYR" w:hAnsi="Times New Roman CYR" w:cs="Times New Roman CYR"/>
          <w:sz w:val="24"/>
          <w:szCs w:val="24"/>
        </w:rPr>
        <w:t xml:space="preserve">сь МСФЗ 1, Товариство обрало першим звiтним перiодом рiк, що закiнчився 31 грудня 2012 року. З цiєї дати фiнансова звiтнiсть Товариства складається вiдповiдно до вимог МСФЗ.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 Припущення щодо функцiонування пiдприємства у найближчому майбутньому</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Дана ф</w:t>
      </w:r>
      <w:r>
        <w:rPr>
          <w:rFonts w:ascii="Times New Roman CYR" w:hAnsi="Times New Roman CYR" w:cs="Times New Roman CYR"/>
          <w:sz w:val="24"/>
          <w:szCs w:val="24"/>
        </w:rPr>
        <w:t>iнансова звiтнiсть пiдготовлена на основi припущення про безперервнiсть дiяльностi пiдприємства. Припущення стосовно функцiонування пiдприємства у найближчому майбутньому зроблено на пiдставi розрахунку, який охоплює 12 мiсяцiв вiд звiтної дати.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найближч</w:t>
      </w:r>
      <w:r>
        <w:rPr>
          <w:rFonts w:ascii="Times New Roman CYR" w:hAnsi="Times New Roman CYR" w:cs="Times New Roman CYR"/>
          <w:sz w:val="24"/>
          <w:szCs w:val="24"/>
        </w:rPr>
        <w:t xml:space="preserve">ому майбутньому пiдприємство продовжуватиме зазнавати вплив нестабiльної економiки в країнi. Звертаємо увагу на iснування таких обставин в Українi як повномасштабна вiйна з Росiєю , з офiцiйним оголошенням 24.02.2022р. про повномасштабне вторгнення  Росiї </w:t>
      </w:r>
      <w:r>
        <w:rPr>
          <w:rFonts w:ascii="Times New Roman CYR" w:hAnsi="Times New Roman CYR" w:cs="Times New Roman CYR"/>
          <w:sz w:val="24"/>
          <w:szCs w:val="24"/>
        </w:rPr>
        <w:t>на територiю України, та введення воєнного стану на територiї нашої держави, на дiяльнiсть та вiрогiднi перспективи подальшого розвитку. Серед суттєвих наслiдкiв вiйни - перебої з виробництвом i процесами постачання, падiння продажiв та доходiв, труднощi з</w:t>
      </w:r>
      <w:r>
        <w:rPr>
          <w:rFonts w:ascii="Times New Roman CYR" w:hAnsi="Times New Roman CYR" w:cs="Times New Roman CYR"/>
          <w:sz w:val="24"/>
          <w:szCs w:val="24"/>
        </w:rPr>
        <w:t>алучення фiнансування.</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Можливого впливу на ПрАТ "Ушицький комбiнат будiвельних матерiалiв" санкцiй через постачальникiв, клiєнтiв, агентiв, фiнансових установ в iнших країнах не встановлено. Проведено iдентифiкацiю всiх клiєнтiв, якi фiзично знаходяться в</w:t>
      </w:r>
      <w:r>
        <w:rPr>
          <w:rFonts w:ascii="Times New Roman CYR" w:hAnsi="Times New Roman CYR" w:cs="Times New Roman CYR"/>
          <w:sz w:val="24"/>
          <w:szCs w:val="24"/>
        </w:rPr>
        <w:t xml:space="preserve"> Росiї та Бiлорусiї, або пов'язанi з фiзичними та юридичними особами, якi пiдпадають пiд санкцiї, а також структури бенефiцiарної власностi, постачальникiв, прямих чи непрямих зв'язкiв з </w:t>
      </w:r>
      <w:r>
        <w:rPr>
          <w:rFonts w:ascii="Times New Roman CYR" w:hAnsi="Times New Roman CYR" w:cs="Times New Roman CYR"/>
          <w:sz w:val="24"/>
          <w:szCs w:val="24"/>
        </w:rPr>
        <w:lastRenderedPageBreak/>
        <w:t>вiдомими полiтично значущими особами, органiзацiями на предмет прихов</w:t>
      </w:r>
      <w:r>
        <w:rPr>
          <w:rFonts w:ascii="Times New Roman CYR" w:hAnsi="Times New Roman CYR" w:cs="Times New Roman CYR"/>
          <w:sz w:val="24"/>
          <w:szCs w:val="24"/>
        </w:rPr>
        <w:t>аного зв'язку з бiлоруськими чи росiйськими фiзичними та юридичними особами, якi пiдлягають пiд санкцiї. Таких фактiв не встановлено.</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Але ми звертаємо увагу на цi обставини з огляду на те ,що iснує значна ймовiрнiсть подальшого  негативного впливу на опера</w:t>
      </w:r>
      <w:r>
        <w:rPr>
          <w:rFonts w:ascii="Times New Roman CYR" w:hAnsi="Times New Roman CYR" w:cs="Times New Roman CYR"/>
          <w:sz w:val="24"/>
          <w:szCs w:val="24"/>
        </w:rPr>
        <w:t xml:space="preserve">цiйну дiяльнiсть ПрАТ "Ушицький комбiнат будiвельних матерiалiв" наслiдкiв вторгнення Росiї в Україну.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2019-2023 рр. Пiдприємство зазнало негативний вплив зовнiшнiх факторiв: скорочення обсягiв експорту, зростання цiн на товари та послуги внаслiдок iнф</w:t>
      </w:r>
      <w:r>
        <w:rPr>
          <w:rFonts w:ascii="Times New Roman CYR" w:hAnsi="Times New Roman CYR" w:cs="Times New Roman CYR"/>
          <w:sz w:val="24"/>
          <w:szCs w:val="24"/>
        </w:rPr>
        <w:t>ляцiї нацiональної валюти, збiльшення фiнансових витрат, недостатностi обiгових коштiв через неплатоспроможнiсть вiтчизняних покупцiв. Отже в такий скрутний перiод пiдприємство за пiдсумками 2023 року пiдприємство отримало фiнансовий збиток в сумi 17469 ти</w:t>
      </w:r>
      <w:r>
        <w:rPr>
          <w:rFonts w:ascii="Times New Roman CYR" w:hAnsi="Times New Roman CYR" w:cs="Times New Roman CYR"/>
          <w:sz w:val="24"/>
          <w:szCs w:val="24"/>
        </w:rPr>
        <w:t xml:space="preserve">с грн.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та акцiонери мають намiр i в подальшому розвивати господарську дiяльнiсть ПрАТ "УКБМ" в Українi. Керiвництво не планує припинення дiяльностi та продажу активiв, має плани капiтальних вкладень, реконструкцiї та модернiзацiї виробництва, </w:t>
      </w:r>
      <w:r>
        <w:rPr>
          <w:rFonts w:ascii="Times New Roman CYR" w:hAnsi="Times New Roman CYR" w:cs="Times New Roman CYR"/>
          <w:sz w:val="24"/>
          <w:szCs w:val="24"/>
        </w:rPr>
        <w:t>стратегiчного та фiнансового розвитку на 2023-2024р.р., має намiри i в подальшому продовжувати та розвивати дiюче виробництво, збiльшувати обсяги добутку гранiту та реалiзацiї щебеневої продукцiї. Фiнансова звiтнiсть пiдприємства пiдготовлена виходячи iз п</w:t>
      </w:r>
      <w:r>
        <w:rPr>
          <w:rFonts w:ascii="Times New Roman CYR" w:hAnsi="Times New Roman CYR" w:cs="Times New Roman CYR"/>
          <w:sz w:val="24"/>
          <w:szCs w:val="24"/>
        </w:rPr>
        <w:t xml:space="preserve">рипущення про його функцiонування в майбутньому, яке передбачає спроможнiсть пiдприємства реалiзовувати активи та виконувати свої зобов'язання у ходi здiйснення звичайної дiяльностi.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Таким чином, фiнансова звiтнiсть не мiстить коригувань вiдображених сум </w:t>
      </w:r>
      <w:r>
        <w:rPr>
          <w:rFonts w:ascii="Times New Roman CYR" w:hAnsi="Times New Roman CYR" w:cs="Times New Roman CYR"/>
          <w:sz w:val="24"/>
          <w:szCs w:val="24"/>
        </w:rPr>
        <w:t>активiв, якi були б необхiднi, якби пiдприємство було неспроможне продовжувати свою дiяльнiсть в майбутньому i якби пiдприємство реалiзовувало свої активи не в ходi звичайної дiяльностi.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2.5. Валюта подання звiтностi та функцiональна валюта, ступiнь округл</w:t>
      </w:r>
      <w:r>
        <w:rPr>
          <w:rFonts w:ascii="Times New Roman CYR" w:hAnsi="Times New Roman CYR" w:cs="Times New Roman CYR"/>
          <w:sz w:val="24"/>
          <w:szCs w:val="24"/>
        </w:rPr>
        <w:t>ення, iншi критерiїподання</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Функцiональною валютою i валютою представлення звiтностi є гривня ("грн.") i всi суми округленi до найближчої тисячi, якщо не зазначено iнше. Статтi звiту про фiнансовий стан в iноземнiй валютi перерахованi та вiдображенi у фiнан</w:t>
      </w:r>
      <w:r>
        <w:rPr>
          <w:rFonts w:ascii="Times New Roman CYR" w:hAnsi="Times New Roman CYR" w:cs="Times New Roman CYR"/>
          <w:sz w:val="24"/>
          <w:szCs w:val="24"/>
        </w:rPr>
        <w:t>совiй звiтностi за офiцiйним курсом НБУ, що дiяв на 31 грудня 2022 та 2021 рокiв.</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складає та подає фiнансову звiтнiсть, у формах, якi визначенi в додатках до НП(С)БО 1 "Загальнi вимоги до фiнансової звiтностi". Данi форми не в повнiй мiрi вiдпов</w:t>
      </w:r>
      <w:r>
        <w:rPr>
          <w:rFonts w:ascii="Times New Roman CYR" w:hAnsi="Times New Roman CYR" w:cs="Times New Roman CYR"/>
          <w:sz w:val="24"/>
          <w:szCs w:val="24"/>
        </w:rPr>
        <w:t xml:space="preserve">iдають вимогам МСБО 1, але є обов'язковими для подання фiнансової звiтностi в Українi, яка пiдготовлена вiдповiдно до Мiжнародних стандартiв фiнансової звiтностi. Зазначена невiдповiднiсть структури i змiсту фiнансової звiтностi не пливає на достовiрнiсть </w:t>
      </w:r>
      <w:r>
        <w:rPr>
          <w:rFonts w:ascii="Times New Roman CYR" w:hAnsi="Times New Roman CYR" w:cs="Times New Roman CYR"/>
          <w:sz w:val="24"/>
          <w:szCs w:val="24"/>
        </w:rPr>
        <w:t>показникiв звiтностi.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2.6. Рiшення про затвердження фiнансової звiтностi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Товариства затверджена до випуску (з метою оприлюднення) керiвником Товариства. Нi учасники Товариства, нi, iншi особи не мають права вносити змiни до цiєї фiнансо</w:t>
      </w:r>
      <w:r>
        <w:rPr>
          <w:rFonts w:ascii="Times New Roman CYR" w:hAnsi="Times New Roman CYR" w:cs="Times New Roman CYR"/>
          <w:sz w:val="24"/>
          <w:szCs w:val="24"/>
        </w:rPr>
        <w:t>вої звiтностi пiсля її затвердження до випуску.</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ПРИЙНЯТТЯ НОВИХ ТА ПЕРЕГЛЯНУТI СТАНДАРТИ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Новi та переглянутi стандарти та iнтерпретацiї. Вплив на фiнансову звiтнiсть прийнятих стандартiв.</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дату затвердження цiєї фiнансової звiтностi до випуску такi стандарти i тлумачення були випущенi, та беруться до застосування при складаннi рiчної фiнансової звiтностi за перiоди, що розпочинаються з 01.01.2023р.</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Товариством не було достроково застосова</w:t>
      </w:r>
      <w:r>
        <w:rPr>
          <w:rFonts w:ascii="Times New Roman CYR" w:hAnsi="Times New Roman CYR" w:cs="Times New Roman CYR"/>
          <w:sz w:val="24"/>
          <w:szCs w:val="24"/>
        </w:rPr>
        <w:t xml:space="preserve">но будь-який iнший стандарт, iнтерпретацiї або поправки, якi були випущенi, але ще не вступили в силу.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Актуальними для Товариства є стандарти введенi в дiю у 2019 роцi: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вперше застосувало новi стандарти та поправки в 2019 роцi - МСФЗ 16 "Оренда</w:t>
      </w:r>
      <w:r>
        <w:rPr>
          <w:rFonts w:ascii="Times New Roman CYR" w:hAnsi="Times New Roman CYR" w:cs="Times New Roman CYR"/>
          <w:sz w:val="24"/>
          <w:szCs w:val="24"/>
        </w:rPr>
        <w:t xml:space="preserve">", Iнтерпретацiя 23"Невизначенiсть щодо розрахунку податку на прибуток", але вони не мали iстотного впливу на рiчну фiнансову звiтнiсть Товариства. Iнформацiя про характер i вплив цих змiн розкрита нижче.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МСФЗ (IFRS) 16 "Оренда".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МСФЗ (IFRS) 16 "Оренда" </w:t>
      </w:r>
      <w:r>
        <w:rPr>
          <w:rFonts w:ascii="Times New Roman CYR" w:hAnsi="Times New Roman CYR" w:cs="Times New Roman CYR"/>
          <w:sz w:val="24"/>
          <w:szCs w:val="24"/>
        </w:rPr>
        <w:t xml:space="preserve">МСФЗ (IFRS) 16 був випущений в сiчнi 2016 року i замiнює собою МСФЗ (IAS) 17 "Оренда", Роз'яснення КТМФЗ (IFRIC) 4 "Визначення наявностi в угодi ознак оренди", Роз'яснення ПКР (SIC) 15 "Операцiйна оренда - стимули" i Роз'яснення ПКР (SIC) 27 "Визначення </w:t>
      </w:r>
      <w:r>
        <w:rPr>
          <w:rFonts w:ascii="Times New Roman CYR" w:hAnsi="Times New Roman CYR" w:cs="Times New Roman CYR"/>
          <w:sz w:val="24"/>
          <w:szCs w:val="24"/>
        </w:rPr>
        <w:lastRenderedPageBreak/>
        <w:t>су</w:t>
      </w:r>
      <w:r>
        <w:rPr>
          <w:rFonts w:ascii="Times New Roman CYR" w:hAnsi="Times New Roman CYR" w:cs="Times New Roman CYR"/>
          <w:sz w:val="24"/>
          <w:szCs w:val="24"/>
        </w:rPr>
        <w:t>тностi операцiй, якi мають юридичну форму оренди". МСФЗ (IFRS) 16 встановлює принципи визнання, оцiнки, подання та розкриття iнформацiї про оренду i вимагає, щоб орендарi вiдображали всi договори оренди з використанням єдиної моделi облiку в балансi, анало</w:t>
      </w:r>
      <w:r>
        <w:rPr>
          <w:rFonts w:ascii="Times New Roman CYR" w:hAnsi="Times New Roman CYR" w:cs="Times New Roman CYR"/>
          <w:sz w:val="24"/>
          <w:szCs w:val="24"/>
        </w:rPr>
        <w:t xml:space="preserve">гiчно порядку облiку, передбаченому в МСФЗ (IAS) 17 для фiнансової оренди. Стандарт передбачає два звiльнення вiд визнання для орендарiв - щодо оренди активiв з низькою вартiстю (наприклад, персональних комп'ютерiв) i короткострокової оренди (тобто оренди </w:t>
      </w:r>
      <w:r>
        <w:rPr>
          <w:rFonts w:ascii="Times New Roman CYR" w:hAnsi="Times New Roman CYR" w:cs="Times New Roman CYR"/>
          <w:sz w:val="24"/>
          <w:szCs w:val="24"/>
        </w:rPr>
        <w:t>з термiном не бiльше 12 мiсяцiв). Стандарт не застосовується (  3а) до орендних угод на розвiдування або використання корисних копалин.</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дату початку оренди орендар буде визнавати зобов'язання щодо орендних платежiв (тобто зобов'язання по орендi), а тако</w:t>
      </w:r>
      <w:r>
        <w:rPr>
          <w:rFonts w:ascii="Times New Roman CYR" w:hAnsi="Times New Roman CYR" w:cs="Times New Roman CYR"/>
          <w:sz w:val="24"/>
          <w:szCs w:val="24"/>
        </w:rPr>
        <w:t>ж актив, який представляє право користування базовим активом протягом термiну оренди (тобто актив у формi права користування). Орендарi будуть зобов'язанi визнавати витрати на вiдсотки за зобов'язанням по орендi окремо вiд витрат по амортизацiї активу в фо</w:t>
      </w:r>
      <w:r>
        <w:rPr>
          <w:rFonts w:ascii="Times New Roman CYR" w:hAnsi="Times New Roman CYR" w:cs="Times New Roman CYR"/>
          <w:sz w:val="24"/>
          <w:szCs w:val="24"/>
        </w:rPr>
        <w:t>рмi права користування. Орендарi також повиннi переоцiнювати зобов'язання по орендi при настаннi певної подiї (наприклад, змiну термiнiв оренди, змiнi майбутнiх орендних платежiв в результатi змiни iндексу або ставки, що використовуються для визначення так</w:t>
      </w:r>
      <w:r>
        <w:rPr>
          <w:rFonts w:ascii="Times New Roman CYR" w:hAnsi="Times New Roman CYR" w:cs="Times New Roman CYR"/>
          <w:sz w:val="24"/>
          <w:szCs w:val="24"/>
        </w:rPr>
        <w:t>их платежiв). У бiльшостi випадкiв орендар враховує суми переоцiнки зобов'язання по орендi в якостi коригування активу в формi права користування. Порядок облiку для орендодавця вiдповiдно до МСФЗ (IFRS) 16 практично не змiнюється в порiвняннi з дiючими до</w:t>
      </w:r>
      <w:r>
        <w:rPr>
          <w:rFonts w:ascii="Times New Roman CYR" w:hAnsi="Times New Roman CYR" w:cs="Times New Roman CYR"/>
          <w:sz w:val="24"/>
          <w:szCs w:val="24"/>
        </w:rPr>
        <w:t xml:space="preserve"> 2019 року вимогами МСФЗ (IAS) 17. Орендодавцi продовжують класифiкувати оренду, використовуючи з тих самих принципiв класифiкацiї, що i в МСФЗ (IAS) 17, видiляючи при цьому два види оренди: операцiйну i фiнансову. Крiм цього, МСФЗ (IFRS) 16, який вступає </w:t>
      </w:r>
      <w:r>
        <w:rPr>
          <w:rFonts w:ascii="Times New Roman CYR" w:hAnsi="Times New Roman CYR" w:cs="Times New Roman CYR"/>
          <w:sz w:val="24"/>
          <w:szCs w:val="24"/>
        </w:rPr>
        <w:t xml:space="preserve">в силу для рiчних перiодiв, що починаються 1 сiчня 2019 року вимагає вiд орендодавцiв i орендарiв розкриття бiльшого обсягу iнформацiї в порiвняннi з МСФЗ (IAS) 17. Пiдприємство  використовує звiльнення, запропонованi в стандартi щодо договорiв оренди ( 5 </w:t>
      </w:r>
      <w:r>
        <w:rPr>
          <w:rFonts w:ascii="Times New Roman CYR" w:hAnsi="Times New Roman CYR" w:cs="Times New Roman CYR"/>
          <w:sz w:val="24"/>
          <w:szCs w:val="24"/>
        </w:rPr>
        <w:t xml:space="preserve">IFRS 16), термiн яких закiнчується протягом 12 мiсяцiв з дати першого застосування, а також щодо договорiв оренди базових активiв з низькою вартiстю. Пiдприємство не застосовує стандарт ( 3 IFRS 16) до договорiв оренди землi держаної власностi, оформленої </w:t>
      </w:r>
      <w:r>
        <w:rPr>
          <w:rFonts w:ascii="Times New Roman CYR" w:hAnsi="Times New Roman CYR" w:cs="Times New Roman CYR"/>
          <w:sz w:val="24"/>
          <w:szCs w:val="24"/>
        </w:rPr>
        <w:t>в оренду для цiлей добування корисних копалин (пiд гранiтний кар'єр). Iншi довгостроковi  договори оренди, дiючi у 2020-2021рр., вiдсутнi. Тому введення в дiю стандарту не мало суттєвого впливу на рiчну фiнансову звiтнiсть Пiдприємства.</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Роз'яснення КТМФЗ (</w:t>
      </w:r>
      <w:r>
        <w:rPr>
          <w:rFonts w:ascii="Times New Roman CYR" w:hAnsi="Times New Roman CYR" w:cs="Times New Roman CYR"/>
          <w:sz w:val="24"/>
          <w:szCs w:val="24"/>
        </w:rPr>
        <w:t>IFRIC) 23 "Невизначенiсть щодо правил обчислення податку на прибуток"</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Роз'яснення розглядає порядок облiку податку на прибуток, коли iснує невизначенiсть податкових трактувань, що впливає на застосування МСФЗ (IAS) 12. Роз'яснення не застосовується до пода</w:t>
      </w:r>
      <w:r>
        <w:rPr>
          <w:rFonts w:ascii="Times New Roman CYR" w:hAnsi="Times New Roman CYR" w:cs="Times New Roman CYR"/>
          <w:sz w:val="24"/>
          <w:szCs w:val="24"/>
        </w:rPr>
        <w:t xml:space="preserve">ткiв або зборiв, якi не належать до сфери застосування МСФЗ (IAS) 12, а також не мiстить особливих вимог, що стосуються вiдсоткiв i штрафiв, пов'язаних з невизначеними податковими трактуваннями. Зокрема, роз'яснення розглядає наступнi питання: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чи розгля</w:t>
      </w:r>
      <w:r>
        <w:rPr>
          <w:rFonts w:ascii="Times New Roman CYR" w:hAnsi="Times New Roman CYR" w:cs="Times New Roman CYR"/>
          <w:sz w:val="24"/>
          <w:szCs w:val="24"/>
        </w:rPr>
        <w:t xml:space="preserve">дає органiзацiя невизначенi податковi трактування окремо;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допущення, якi органiзацiя робить щодо перевiрки податкових трактувань податковими органами;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як органiзацiя визначає оподатковуваний прибуток (податковий збиток), податкову базу, невикористанi</w:t>
      </w:r>
      <w:r>
        <w:rPr>
          <w:rFonts w:ascii="Times New Roman CYR" w:hAnsi="Times New Roman CYR" w:cs="Times New Roman CYR"/>
          <w:sz w:val="24"/>
          <w:szCs w:val="24"/>
        </w:rPr>
        <w:t xml:space="preserve"> податковi збитки, невикористанi податковi пiльги i ставки податку;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як органiзацiя розглядає змiни фактiв i обставин. Органiзацiя повинна вирiшити, чи розглядати кожне невизначене податкове трактування окремо або разом з однiєю або декiлькома iншими нев</w:t>
      </w:r>
      <w:r>
        <w:rPr>
          <w:rFonts w:ascii="Times New Roman CYR" w:hAnsi="Times New Roman CYR" w:cs="Times New Roman CYR"/>
          <w:sz w:val="24"/>
          <w:szCs w:val="24"/>
        </w:rPr>
        <w:t>изначеними податковими трактуваннями. Необхiдно використовувати пiдхiд, який дозволить з бiльшою точнiстю передбачити результат вирiшення невизначеностi.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Роз'яснення вступає в силу для рiчних перiодiв, що починаються 1 сiчня 2019 року або пiсля цiєї дати. </w:t>
      </w:r>
      <w:r>
        <w:rPr>
          <w:rFonts w:ascii="Times New Roman CYR" w:hAnsi="Times New Roman CYR" w:cs="Times New Roman CYR"/>
          <w:sz w:val="24"/>
          <w:szCs w:val="24"/>
        </w:rPr>
        <w:t>Пiдприємство застосовує роз'яснення з дати його вступу в силу. Так як ПрАТ "УКБМ" здiйснює свою дiяльнiсть в складному податковому середовищi, застосування роз'яснення в майбутньому може вплинути на фiнансову звiтнiсть Пiдприємства. Крiм того, Пiдприємство</w:t>
      </w:r>
      <w:r>
        <w:rPr>
          <w:rFonts w:ascii="Times New Roman CYR" w:hAnsi="Times New Roman CYR" w:cs="Times New Roman CYR"/>
          <w:sz w:val="24"/>
          <w:szCs w:val="24"/>
        </w:rPr>
        <w:t xml:space="preserve"> може бути змушене встановити процедури та методи отримання iнформацiї, необхiдної для своєчасного застосування роз'яснення. Наразi Пiдприємство вважає можливiсть такого впливу не суттєвою.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Поправки до МСФЗ (IAS) 19 "Виплати працiвникам": Плановi поправки</w:t>
      </w:r>
      <w:r>
        <w:rPr>
          <w:rFonts w:ascii="Times New Roman CYR" w:hAnsi="Times New Roman CYR" w:cs="Times New Roman CYR"/>
          <w:sz w:val="24"/>
          <w:szCs w:val="24"/>
        </w:rPr>
        <w:t>, скорочення або врегулювання - "Внесення змiн до програми, скорочення програми або погашення зобов'язань за програмою"</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Поправки до МСБО 19 стосуються бухгалтерського облiку, коли змiна пенсiйного плану, скорочення чи погашення планiв вiдбувається протягом</w:t>
      </w:r>
      <w:r>
        <w:rPr>
          <w:rFonts w:ascii="Times New Roman CYR" w:hAnsi="Times New Roman CYR" w:cs="Times New Roman CYR"/>
          <w:sz w:val="24"/>
          <w:szCs w:val="24"/>
        </w:rPr>
        <w:t xml:space="preserve"> звiтного перiоду. Поправки не мають впливу на фiнансову звiтнiсть Пiдприємства, данi поправки будуть застосовуватися тiльки у вiдношеннi </w:t>
      </w:r>
      <w:r>
        <w:rPr>
          <w:rFonts w:ascii="Times New Roman CYR" w:hAnsi="Times New Roman CYR" w:cs="Times New Roman CYR"/>
          <w:sz w:val="24"/>
          <w:szCs w:val="24"/>
        </w:rPr>
        <w:lastRenderedPageBreak/>
        <w:t>майбутнiх змiн програми, її скорочення або погашення зобов'язань за програмою.</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удосконаленням МСФЗ (рiчнi удосконал</w:t>
      </w:r>
      <w:r>
        <w:rPr>
          <w:rFonts w:ascii="Times New Roman CYR" w:hAnsi="Times New Roman CYR" w:cs="Times New Roman CYR"/>
          <w:sz w:val="24"/>
          <w:szCs w:val="24"/>
        </w:rPr>
        <w:t xml:space="preserve">ення 2015-2017рр.) вiдносяться такi поправки: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МСФЗ (IAS) 12 "Податки на прибуток"</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Поправки роз'яснюють, що податковi наслiдки щодо дивiдендiв в бiльшiй мiрi пов'язанi з минулими операцiями чи подiями, якi генерували прибуток що розподiляється, нiж з розпо</w:t>
      </w:r>
      <w:r>
        <w:rPr>
          <w:rFonts w:ascii="Times New Roman CYR" w:hAnsi="Times New Roman CYR" w:cs="Times New Roman CYR"/>
          <w:sz w:val="24"/>
          <w:szCs w:val="24"/>
        </w:rPr>
        <w:t>дiлами мiж власниками. Отже, органiзацiя повинна визнавати податковi наслiдки щодо дивiдендiв в прибутку чи збитку, iншому сукупному доходi або власному капiталi в залежностi вiд того, де органiзацiя спочатку визнала такi минулi операцiї або подiї. Органiз</w:t>
      </w:r>
      <w:r>
        <w:rPr>
          <w:rFonts w:ascii="Times New Roman CYR" w:hAnsi="Times New Roman CYR" w:cs="Times New Roman CYR"/>
          <w:sz w:val="24"/>
          <w:szCs w:val="24"/>
        </w:rPr>
        <w:t>ацiя повинна застосовувати данi змiни до рiчних звiтних перiодiв, що починаються 1 сiчня 2019 року або пiсля цiєї дати. Допускається застосування до цiєї дати. При першому застосуваннi даних поправок органiзацiя повинна застосовувати їх до податкових наслi</w:t>
      </w:r>
      <w:r>
        <w:rPr>
          <w:rFonts w:ascii="Times New Roman CYR" w:hAnsi="Times New Roman CYR" w:cs="Times New Roman CYR"/>
          <w:sz w:val="24"/>
          <w:szCs w:val="24"/>
        </w:rPr>
        <w:t>дкiв щодо дивiдендiв, визнаних на дату початку самого раннього порiвняльного перiоду або пiсля цiєї дати. Оскiльки поточна практика Компанiї вiдповiдає вимогам поправок, Товариство не очiкує, що вони матимуть будь-який вплив на його фiнансову звiтнiсть.</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МС</w:t>
      </w:r>
      <w:r>
        <w:rPr>
          <w:rFonts w:ascii="Times New Roman CYR" w:hAnsi="Times New Roman CYR" w:cs="Times New Roman CYR"/>
          <w:sz w:val="24"/>
          <w:szCs w:val="24"/>
        </w:rPr>
        <w:t>ФЗ (IAS) 23 "Витрати за запозиченнями"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Поправки роз'яснюють, що органiзацiя повинна враховувати позики, отриманi спецiально для придбання квалiфiкованого активу, в рамках позик на спiльнi цiлi, коли завершенi практично всi роботи, необхiднi для пiдготовки </w:t>
      </w:r>
      <w:r>
        <w:rPr>
          <w:rFonts w:ascii="Times New Roman CYR" w:hAnsi="Times New Roman CYR" w:cs="Times New Roman CYR"/>
          <w:sz w:val="24"/>
          <w:szCs w:val="24"/>
        </w:rPr>
        <w:t xml:space="preserve">цього активу до використання за призначенням або продажу. Органiзацiя повинна застосовувати данi поправки щодо витрат за запозиченнями, понесених на дату початку рiчного звiтного перiоду, в якому органiзацiя вперше застосовує данi поправки, або пiсля цiєї </w:t>
      </w:r>
      <w:r>
        <w:rPr>
          <w:rFonts w:ascii="Times New Roman CYR" w:hAnsi="Times New Roman CYR" w:cs="Times New Roman CYR"/>
          <w:sz w:val="24"/>
          <w:szCs w:val="24"/>
        </w:rPr>
        <w:t>дати. Органiзацiя повинна застосовувати данi змiни до рiчних звiтних перiодiв, що починаються 1 сiчня 2019 року або пiсля цiєї дати. Допускається застосування до цiєї дати. Оскiльки поточна дiяльнiсть Пiдприємства вiдповiдає вимогам поправок, очiкується, щ</w:t>
      </w:r>
      <w:r>
        <w:rPr>
          <w:rFonts w:ascii="Times New Roman CYR" w:hAnsi="Times New Roman CYR" w:cs="Times New Roman CYR"/>
          <w:sz w:val="24"/>
          <w:szCs w:val="24"/>
        </w:rPr>
        <w:t>о данi поправки не зроблять впливу на фiнансову звiтнiсть Товариства.</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МСФЗ, якi прийнятi, i набули чинностi з 01 сiчня 2020 року</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4.СУТТЄВI ОБЛIКОВI СУДЖЕННЯ, ОЦIНКИ ТА ПРИПУЩЕННЯ</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Складання фiнансової звiтностi пiдприємства згiдно з МСФЗ вимагає вiд керiвництва здiйснення оцiнок та припущень, якi впливають на поданi у фiнансовiй звiтностi суми доходiв, витрат, активiв та зобов'язань, а також розкриття iнформацiї про умовнi зобов'яза</w:t>
      </w:r>
      <w:r>
        <w:rPr>
          <w:rFonts w:ascii="Times New Roman CYR" w:hAnsi="Times New Roman CYR" w:cs="Times New Roman CYR"/>
          <w:sz w:val="24"/>
          <w:szCs w:val="24"/>
        </w:rPr>
        <w:t>ння на кiнець звiтного перiоду. Однак невизначенiсть щодо цих припущень i оцiнок може призвести до результатiв, якi можуть вимагати суттєвих коригувань балансової вартостi активу або зобов'язання, стосовно яких робляться подiбнi припущення й оцiнки у майбу</w:t>
      </w:r>
      <w:r>
        <w:rPr>
          <w:rFonts w:ascii="Times New Roman CYR" w:hAnsi="Times New Roman CYR" w:cs="Times New Roman CYR"/>
          <w:sz w:val="24"/>
          <w:szCs w:val="24"/>
        </w:rPr>
        <w:t>тньому.</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4.1. Оцiнки та припущення</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використовує оцiнки та припущення, якi впливають на суми, що вiдображаються у фiнансовiй звiтностi, та на балансову вартiсть активiв та зобов'язань протягом наступного фiнансового року. Розрахунки та судження </w:t>
      </w:r>
      <w:r>
        <w:rPr>
          <w:rFonts w:ascii="Times New Roman CYR" w:hAnsi="Times New Roman CYR" w:cs="Times New Roman CYR"/>
          <w:sz w:val="24"/>
          <w:szCs w:val="24"/>
        </w:rPr>
        <w:t>постiйно оцiнюються та базуються на попередньому досвiдi керiвництва та iнших факторах, у тому числi на очiкуваннях щодо майбутнiх подiй, якi вважаються обгрунтованими за поточних обставин. Крiм суджень, якi передбачають облiковi оцiнки, керiвництво пiдпри</w:t>
      </w:r>
      <w:r>
        <w:rPr>
          <w:rFonts w:ascii="Times New Roman CYR" w:hAnsi="Times New Roman CYR" w:cs="Times New Roman CYR"/>
          <w:sz w:val="24"/>
          <w:szCs w:val="24"/>
        </w:rPr>
        <w:t xml:space="preserve">ємства також використовує професiйнi судження при застосуваннi облiкової полiтики.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Нижче поданi основнi припущення, що стосуються майбутнього та iнших основних джерел невизначеностi оцiнок на звiтну дату, якi несуть у собi значний ризик виникнення необхiд</w:t>
      </w:r>
      <w:r>
        <w:rPr>
          <w:rFonts w:ascii="Times New Roman CYR" w:hAnsi="Times New Roman CYR" w:cs="Times New Roman CYR"/>
          <w:sz w:val="24"/>
          <w:szCs w:val="24"/>
        </w:rPr>
        <w:t>ностi внесення суттєвих коригувань до балансової вартостi активiв та зобов'язань протягом наступного фiнансового року. Оцiнки та припущення пiдприємства грунтувалися на параметрах, доступних у процесi складання фiнансової звiтностi. Однак поточнi обставини</w:t>
      </w:r>
      <w:r>
        <w:rPr>
          <w:rFonts w:ascii="Times New Roman CYR" w:hAnsi="Times New Roman CYR" w:cs="Times New Roman CYR"/>
          <w:sz w:val="24"/>
          <w:szCs w:val="24"/>
        </w:rPr>
        <w:t xml:space="preserve"> та припущення щодо перспектив можуть змiнитися пiд впливом ринкових змiн або обставин, якi не пiддаються контролю пiдприємства. Такi змiни вiдображаються у припущеннях по мiрi їхнього виникнення.</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4.2. Знецiнення необоротних активiв</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кiнець кожног</w:t>
      </w:r>
      <w:r>
        <w:rPr>
          <w:rFonts w:ascii="Times New Roman CYR" w:hAnsi="Times New Roman CYR" w:cs="Times New Roman CYR"/>
          <w:sz w:val="24"/>
          <w:szCs w:val="24"/>
        </w:rPr>
        <w:t xml:space="preserve">о звiтного перiоду керiвництво пiдприємства регулярно виконує процедури для визначення наявностi ознак зменшення </w:t>
      </w:r>
      <w:r>
        <w:rPr>
          <w:rFonts w:ascii="Times New Roman CYR" w:hAnsi="Times New Roman CYR" w:cs="Times New Roman CYR"/>
          <w:sz w:val="24"/>
          <w:szCs w:val="24"/>
        </w:rPr>
        <w:lastRenderedPageBreak/>
        <w:t>корисностi та перевiрки на предмет можливостi вiдшкодування балансової вартостi основних засобiв, якi вважаються єдиним пiдроздiлом, що генерує</w:t>
      </w:r>
      <w:r>
        <w:rPr>
          <w:rFonts w:ascii="Times New Roman CYR" w:hAnsi="Times New Roman CYR" w:cs="Times New Roman CYR"/>
          <w:sz w:val="24"/>
          <w:szCs w:val="24"/>
        </w:rPr>
        <w:t xml:space="preserve"> грошовi потоки. Визначення зменшення корисностi основних засобiв передбачає застосування оцiнок, якi включають, зокрема, встановлення причини, часу та суми зменшення корисностi. Зменшення корисностi грунтується на великiй кiлькостi факторiв, як-от: змiна </w:t>
      </w:r>
      <w:r>
        <w:rPr>
          <w:rFonts w:ascii="Times New Roman CYR" w:hAnsi="Times New Roman CYR" w:cs="Times New Roman CYR"/>
          <w:sz w:val="24"/>
          <w:szCs w:val="24"/>
        </w:rPr>
        <w:t>поточного конкурентного середовища, очiкування щодо зростання промисловостi, збiльшення вартостi капiталу, змiни у майбутнiй доступностi фiнансування, технологiчне застарiння, припинення певного виду дiяльностi, поточна вартiсть вiдшкодування та iншi змiни</w:t>
      </w:r>
      <w:r>
        <w:rPr>
          <w:rFonts w:ascii="Times New Roman CYR" w:hAnsi="Times New Roman CYR" w:cs="Times New Roman CYR"/>
          <w:sz w:val="24"/>
          <w:szCs w:val="24"/>
        </w:rPr>
        <w:t xml:space="preserve"> в обставинах, якi свiдчать про зменшення корисностi. Методи, що використовуються для визначення вартостi використання, включають методи дисконтування грошових потокiв, застосування яких вимагає вiд пiдприємства здiйснити оцiнку майбутнiх грошових потокiв </w:t>
      </w:r>
      <w:r>
        <w:rPr>
          <w:rFonts w:ascii="Times New Roman CYR" w:hAnsi="Times New Roman CYR" w:cs="Times New Roman CYR"/>
          <w:sz w:val="24"/>
          <w:szCs w:val="24"/>
        </w:rPr>
        <w:t>вiд групи активiв, що генерують грошовi потоки, а також обрати прийнятну ставку дисконтування для визначення теперiшньої вартостi таких грошових потокiв. Такi оцiнки, включаючи застосовуванi методи, можуть мати суттєвий вплив на вiдшкодовану вартiсть та, з</w:t>
      </w:r>
      <w:r>
        <w:rPr>
          <w:rFonts w:ascii="Times New Roman CYR" w:hAnsi="Times New Roman CYR" w:cs="Times New Roman CYR"/>
          <w:sz w:val="24"/>
          <w:szCs w:val="24"/>
        </w:rPr>
        <w:t xml:space="preserve">рештою, на суму зменшення корисностi основних засобiв.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Якщо ознаки знецiнення iснують, керiвництво оцiнює вартiсть вiдшкодування активу як його справедливу вартiсть за вирахуванням витрат на продаж або вартiсть використання активу, залежно вiд того, яка з</w:t>
      </w:r>
      <w:r>
        <w:rPr>
          <w:rFonts w:ascii="Times New Roman CYR" w:hAnsi="Times New Roman CYR" w:cs="Times New Roman CYR"/>
          <w:sz w:val="24"/>
          <w:szCs w:val="24"/>
        </w:rPr>
        <w:t xml:space="preserve"> них бiльша. Якщо iснують будь-якi ознаки знецiнення, балансова вартiсть активу зменшується до вартостi вiдшкодування, а збиток вiд знецiнення визнається у складi прибутку чи збитку за рiк. Збиток вiд знецiнення активу, визнаний у попереднiх роках, стернує</w:t>
      </w:r>
      <w:r>
        <w:rPr>
          <w:rFonts w:ascii="Times New Roman CYR" w:hAnsi="Times New Roman CYR" w:cs="Times New Roman CYR"/>
          <w:sz w:val="24"/>
          <w:szCs w:val="24"/>
        </w:rPr>
        <w:t>ться вiдповiдним чином, якщо в оцiнках, використаних для визначення вартостi використання активу або його справедливої вартостi за вирахуванням витрат на продаж, вiдбулися змiни.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4.3. Зменшення корисностi основних засобiв</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пiдприємства регулярно</w:t>
      </w:r>
      <w:r>
        <w:rPr>
          <w:rFonts w:ascii="Times New Roman CYR" w:hAnsi="Times New Roman CYR" w:cs="Times New Roman CYR"/>
          <w:sz w:val="24"/>
          <w:szCs w:val="24"/>
        </w:rPr>
        <w:t xml:space="preserve"> виконує процедури для визначення наявностi ознак зменшення корисностi та перевiрки на предмет можливостi вiдшкодування балансової вартостi основних засобiв. Визначення зменшення корисностi основних засобiв передбачає застосування оцiнок, якi включають, зо</w:t>
      </w:r>
      <w:r>
        <w:rPr>
          <w:rFonts w:ascii="Times New Roman CYR" w:hAnsi="Times New Roman CYR" w:cs="Times New Roman CYR"/>
          <w:sz w:val="24"/>
          <w:szCs w:val="24"/>
        </w:rPr>
        <w:t xml:space="preserve">крема, встановлення причини, часу та суми зменшення корисностi. Зменшення корисностi грунтується на великiй кiлькостi факторiв, такi як: змiна поточного конкурентного середовища, очiкування щодо зростання промисловостi, збiльшення вартостi капiталу, змiни </w:t>
      </w:r>
      <w:r>
        <w:rPr>
          <w:rFonts w:ascii="Times New Roman CYR" w:hAnsi="Times New Roman CYR" w:cs="Times New Roman CYR"/>
          <w:sz w:val="24"/>
          <w:szCs w:val="24"/>
        </w:rPr>
        <w:t>у майбутнiй доступностi фiнансування, технологiчне застарiння, припинення певного виду дiяльностi, поточна вартiсть вiдшкодування та iншi змiни в обставинах, якi свiдчать про зменшення корисностi. В умовах знецiнення нацiональної валюти та помiрної iнфляцi</w:t>
      </w:r>
      <w:r>
        <w:rPr>
          <w:rFonts w:ascii="Times New Roman CYR" w:hAnsi="Times New Roman CYR" w:cs="Times New Roman CYR"/>
          <w:sz w:val="24"/>
          <w:szCs w:val="24"/>
        </w:rPr>
        <w:t xml:space="preserve">ї у 2019-2023 рр., незначне зменшення корисностi окремих об'єктiв не призводить до зменшення його балансової вартостi.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 грудня 2023р. керiвництво пiдприємства не виявило жодних ознак зменшення корисностi балансової вартостi основних засобiв (1</w:t>
      </w:r>
      <w:r>
        <w:rPr>
          <w:rFonts w:ascii="Times New Roman CYR" w:hAnsi="Times New Roman CYR" w:cs="Times New Roman CYR"/>
          <w:sz w:val="24"/>
          <w:szCs w:val="24"/>
        </w:rPr>
        <w:t xml:space="preserve"> сiчня 2023 р.: жодних ознак зменшення корисностi).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4.4. Строки корисного використання основних засобiв</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оцiнює залишковий строк корисного використання основних засобiв щонайменше на кiнець кожного фiнансового року. Якщо очiкування вiдрiзняютьс</w:t>
      </w:r>
      <w:r>
        <w:rPr>
          <w:rFonts w:ascii="Times New Roman CYR" w:hAnsi="Times New Roman CYR" w:cs="Times New Roman CYR"/>
          <w:sz w:val="24"/>
          <w:szCs w:val="24"/>
        </w:rPr>
        <w:t>я вiд попереднiх оцiнок, змiни облiковуються як змiни в облiкових оцiнках вiдповiдно до МСБО (IAS) 8 "Облiковi полiтики, змiни в облiкових оцiнках та помилки". Такi оцiнки можуть мати суттєвий вплив на балансову вартiсть основних засобiв та суму амортизацi</w:t>
      </w:r>
      <w:r>
        <w:rPr>
          <w:rFonts w:ascii="Times New Roman CYR" w:hAnsi="Times New Roman CYR" w:cs="Times New Roman CYR"/>
          <w:sz w:val="24"/>
          <w:szCs w:val="24"/>
        </w:rPr>
        <w:t xml:space="preserve">ї, визнану у звiтi про прибутки та збитки.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рiк, що закiнчився 31 грудня 2023 р., значних змiн у строках корисного використання основних засобiв не вiдбулося.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4.5. Запаси за чистою вартiстю реалiзацiї</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Запаси облiковуються по найменшiй iз двох величин: </w:t>
      </w:r>
      <w:r>
        <w:rPr>
          <w:rFonts w:ascii="Times New Roman CYR" w:hAnsi="Times New Roman CYR" w:cs="Times New Roman CYR"/>
          <w:sz w:val="24"/>
          <w:szCs w:val="24"/>
        </w:rPr>
        <w:t xml:space="preserve">по собiвартостi або чистої вартостi реалiзацiї.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оцiнює необхiднiсть списання вартостi запасiв до їхньої чистої вартостi реалiзацiї з урахуванням цiн пiсля закiнчення перiоду та цiлей, для яких призначенi запаси. Якщо вартiсть запасiв не пiдляг</w:t>
      </w:r>
      <w:r>
        <w:rPr>
          <w:rFonts w:ascii="Times New Roman CYR" w:hAnsi="Times New Roman CYR" w:cs="Times New Roman CYR"/>
          <w:sz w:val="24"/>
          <w:szCs w:val="24"/>
        </w:rPr>
        <w:t xml:space="preserve">ає повному вiдшкодуванню, балансова вартiсть таких запасiв коригується до їхньої чистої вартостi реалiзацiї.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Знецiнення торгової та iншої дебiторської заборгованостi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оцiнює ймовiрнiсть погашення торгової та iншої дебiторської заборговано</w:t>
      </w:r>
      <w:r>
        <w:rPr>
          <w:rFonts w:ascii="Times New Roman CYR" w:hAnsi="Times New Roman CYR" w:cs="Times New Roman CYR"/>
          <w:sz w:val="24"/>
          <w:szCs w:val="24"/>
        </w:rPr>
        <w:t>стi на пiдставi аналiзу конкретної й загальної заборгованостi. При цьому в розрахунок беруться такi фактори як результати аналiзу торгової та iншої дебiторської заборгованостi за строками погашення в порiвняннi з умовами кредитування клiєнтiв, а також фiна</w:t>
      </w:r>
      <w:r>
        <w:rPr>
          <w:rFonts w:ascii="Times New Roman CYR" w:hAnsi="Times New Roman CYR" w:cs="Times New Roman CYR"/>
          <w:sz w:val="24"/>
          <w:szCs w:val="24"/>
        </w:rPr>
        <w:t xml:space="preserve">нсовий стан i данi про погашення заборгованостi цими клiєнтами в минулому. </w:t>
      </w:r>
      <w:r>
        <w:rPr>
          <w:rFonts w:ascii="Times New Roman CYR" w:hAnsi="Times New Roman CYR" w:cs="Times New Roman CYR"/>
          <w:sz w:val="24"/>
          <w:szCs w:val="24"/>
        </w:rPr>
        <w:lastRenderedPageBreak/>
        <w:t>Якщо фактична сума погашення буде меншою за суму, визначену керiвництвом, пiдприємство повинно буде вiдобразити додатковi витрати за безнадiйною заборгованiстю.</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4.7. Знецiнення фiна</w:t>
      </w:r>
      <w:r>
        <w:rPr>
          <w:rFonts w:ascii="Times New Roman CYR" w:hAnsi="Times New Roman CYR" w:cs="Times New Roman CYR"/>
          <w:sz w:val="24"/>
          <w:szCs w:val="24"/>
        </w:rPr>
        <w:t>нсових активiв, облiкованих за амортизованою вартiстю</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Збитки вiд знецiнення визнаються у складi прибутку чи збитку у результатi настання однiєї або декiлькох подiй ("збиткових подiй"), що вiдбулись пiсля початкового визнання фiнансового активу i впливають </w:t>
      </w:r>
      <w:r>
        <w:rPr>
          <w:rFonts w:ascii="Times New Roman CYR" w:hAnsi="Times New Roman CYR" w:cs="Times New Roman CYR"/>
          <w:sz w:val="24"/>
          <w:szCs w:val="24"/>
        </w:rPr>
        <w:t>на суму або строки оцiночних грошових потокiв, якi пов'язанi з фiнансовим активом або групою фiнансових активiв, якщо цi збитки можна достовiрно оцiнити. Якщо пiдприємство визначає вiдсутнiсть об'єктивних ознак знецiнення для окремо оцiненого фiнансового а</w:t>
      </w:r>
      <w:r>
        <w:rPr>
          <w:rFonts w:ascii="Times New Roman CYR" w:hAnsi="Times New Roman CYR" w:cs="Times New Roman CYR"/>
          <w:sz w:val="24"/>
          <w:szCs w:val="24"/>
        </w:rPr>
        <w:t>ктиву (незалежно вiд його суттєвостi), воно вiдносить цей актив до групи фiнансових активiв, що мають схожi характеристики кредитного ризику, та здiйснює їх колективну оцiнку на предмет знецiнення Основними факторами, якi враховує пiдприємство при визначен</w:t>
      </w:r>
      <w:r>
        <w:rPr>
          <w:rFonts w:ascii="Times New Roman CYR" w:hAnsi="Times New Roman CYR" w:cs="Times New Roman CYR"/>
          <w:sz w:val="24"/>
          <w:szCs w:val="24"/>
        </w:rPr>
        <w:t>нi знецiнення фiнансового активу, є його прострочений статус та можливiсть реалiзацiї вiдповiдної застави, за її наявностi.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Нижче перелiченi iншi основнi критерiї, на основi яких визначається наявнiсть об'єктивних ознак знецiнення;</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прострочення будь-якого </w:t>
      </w:r>
      <w:r>
        <w:rPr>
          <w:rFonts w:ascii="Times New Roman CYR" w:hAnsi="Times New Roman CYR" w:cs="Times New Roman CYR"/>
          <w:sz w:val="24"/>
          <w:szCs w:val="24"/>
        </w:rPr>
        <w:t>чергового платежу, при цьому несвоєчасна оплата не може пояснюватись затримкою у роботi розрахункових систем;</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контрагент зазнає суттєвих фiнансових труднощiв, що пiдтверджує отримана пiдприємством фiнансова iнформацiя контрагента,</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ймовiрнiсть банкрутства ч</w:t>
      </w:r>
      <w:r>
        <w:rPr>
          <w:rFonts w:ascii="Times New Roman CYR" w:hAnsi="Times New Roman CYR" w:cs="Times New Roman CYR"/>
          <w:sz w:val="24"/>
          <w:szCs w:val="24"/>
        </w:rPr>
        <w:t>и фiнансової реорганiзацiї контрагента;</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платоспроможнiсть контрагента погiршилася внаслiдок змiн загальнонацiональних або мiсцевих економiчних умов, якi впливають на дiяльнiсть контрагента</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Якщо умови знецiненого фiнансового активу, що облiковується за амор</w:t>
      </w:r>
      <w:r>
        <w:rPr>
          <w:rFonts w:ascii="Times New Roman CYR" w:hAnsi="Times New Roman CYR" w:cs="Times New Roman CYR"/>
          <w:sz w:val="24"/>
          <w:szCs w:val="24"/>
        </w:rPr>
        <w:t>тизованою вартiстю, переглядаються або iншим чином змiнюються внаслiдок фiнансових труднощiв контрагента, знецiнення такого активу оцiнюється iз використанням ефективної процентної ставки, яка застосовувалася до змiни його умов.</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Збитки вiд знецiнення визна</w:t>
      </w:r>
      <w:r>
        <w:rPr>
          <w:rFonts w:ascii="Times New Roman CYR" w:hAnsi="Times New Roman CYR" w:cs="Times New Roman CYR"/>
          <w:sz w:val="24"/>
          <w:szCs w:val="24"/>
        </w:rPr>
        <w:t>ються шляхом створення резерву в сумi, необхiднiй для зменшення балансової вартостi активу до поточної вартостi очiкуваних грошових потокiв (без урахування майбутнiх, ще не понесених кредитних збиткiв), дисконтованих за первiсною ефективною процентною став</w:t>
      </w:r>
      <w:r>
        <w:rPr>
          <w:rFonts w:ascii="Times New Roman CYR" w:hAnsi="Times New Roman CYR" w:cs="Times New Roman CYR"/>
          <w:sz w:val="24"/>
          <w:szCs w:val="24"/>
        </w:rPr>
        <w:t>кою для даного активу.</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Якщо у наступному перiодi сума збитку вiд знецiнення активу зменшується i це зменшення може бути об'єктивно вiднесене до подiї, яка вiдбулась пiсля визнання збитку вiд знецiнення (наприклад, через пiдвищення кредитного рейтингу дебiтора), то визнаний ранiш</w:t>
      </w:r>
      <w:r>
        <w:rPr>
          <w:rFonts w:ascii="Times New Roman CYR" w:hAnsi="Times New Roman CYR" w:cs="Times New Roman CYR"/>
          <w:sz w:val="24"/>
          <w:szCs w:val="24"/>
        </w:rPr>
        <w:t>е збиток вiд знецiнення стернується шляхом коригування рахунку резерву. Сума зменшення вiдображається у складi прибутку чи збитку.</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Активи, погашення яких неможливе, списуються за рахунок сформованого резерву збиткiв вiд знецiнення. Повернення ранiше списан</w:t>
      </w:r>
      <w:r>
        <w:rPr>
          <w:rFonts w:ascii="Times New Roman CYR" w:hAnsi="Times New Roman CYR" w:cs="Times New Roman CYR"/>
          <w:sz w:val="24"/>
          <w:szCs w:val="24"/>
        </w:rPr>
        <w:t>их сум кредитується на рахунок вiдповiдного резерву збиткiв вiд знецiнення у складi прибутку чи збитку.</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4.8. Податки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Українське законодавство й нормативнi акти, що регулюють сферу оподаткування та iншi аспекти дiяльностi пiдприємства, включаючи валютний ко</w:t>
      </w:r>
      <w:r>
        <w:rPr>
          <w:rFonts w:ascii="Times New Roman CYR" w:hAnsi="Times New Roman CYR" w:cs="Times New Roman CYR"/>
          <w:sz w:val="24"/>
          <w:szCs w:val="24"/>
        </w:rPr>
        <w:t>нтроль i митне законодавство, продовжують змiнюватися. Положення законiв i нормативних документiв зазвичай є нечiткими й тлумачяться по-рiзному мiсцевими, регiональними й державними органами, а також iншими урядовими установами. Випадки розбiжностей у тлум</w:t>
      </w:r>
      <w:r>
        <w:rPr>
          <w:rFonts w:ascii="Times New Roman CYR" w:hAnsi="Times New Roman CYR" w:cs="Times New Roman CYR"/>
          <w:sz w:val="24"/>
          <w:szCs w:val="24"/>
        </w:rPr>
        <w:t xml:space="preserve">аченнi законодавства є непоодинокими. Керiвництво вважає, що тлумачення ним положень законодавства, якi регулюють дiяльнiсть пiдприємства, є правильним, i що пiдприємство дотрималось усiх нормативних положень, а всi передбаченi законодавством податки були </w:t>
      </w:r>
      <w:r>
        <w:rPr>
          <w:rFonts w:ascii="Times New Roman CYR" w:hAnsi="Times New Roman CYR" w:cs="Times New Roman CYR"/>
          <w:sz w:val="24"/>
          <w:szCs w:val="24"/>
        </w:rPr>
        <w:t>сплаченi або нарахованi.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Вiдстроченi податковi активи визнаються для всiх невикористаних податкових збиткiв, якщо iснує ймовiрнiсть наявностi оподатковуваного прибутку, в рахунок якого можуть бути використанi збитки. Суттєвi оцiнки керiвництва необхiднi дл</w:t>
      </w:r>
      <w:r>
        <w:rPr>
          <w:rFonts w:ascii="Times New Roman CYR" w:hAnsi="Times New Roman CYR" w:cs="Times New Roman CYR"/>
          <w:sz w:val="24"/>
          <w:szCs w:val="24"/>
        </w:rPr>
        <w:t>я визначення суми вiдстрочених податкових активiв, якi можуть бути визнанi, виходячи з iмовiрних строкiв i розмiру майбутнього оподатковуваного прибутку й стратегiї податкового планування в майбутньому. Керiвництво пiдприємства оцiнює вiдстроченi податковi</w:t>
      </w:r>
      <w:r>
        <w:rPr>
          <w:rFonts w:ascii="Times New Roman CYR" w:hAnsi="Times New Roman CYR" w:cs="Times New Roman CYR"/>
          <w:sz w:val="24"/>
          <w:szCs w:val="24"/>
        </w:rPr>
        <w:t xml:space="preserve"> активи та зобов'язання на основi припущень, зроблених iз метою визначення того, коли актив буде реалiзовано або зобов'язання - погашено, виходячи зi ставок податку (та податкового законодавства), встановлених або фактично встановлених на кiнець кожного зв</w:t>
      </w:r>
      <w:r>
        <w:rPr>
          <w:rFonts w:ascii="Times New Roman CYR" w:hAnsi="Times New Roman CYR" w:cs="Times New Roman CYR"/>
          <w:sz w:val="24"/>
          <w:szCs w:val="24"/>
        </w:rPr>
        <w:t>iтного перiоду.</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рiк, що закiнчився 31 грудня 2023 р., нормативна ставка податку на прибуток пiдприємств в Українi становила 18%. Вiдповiдно до Податкового </w:t>
      </w:r>
      <w:r>
        <w:rPr>
          <w:rFonts w:ascii="Times New Roman CYR" w:hAnsi="Times New Roman CYR" w:cs="Times New Roman CYR"/>
          <w:sz w:val="24"/>
          <w:szCs w:val="24"/>
        </w:rPr>
        <w:lastRenderedPageBreak/>
        <w:t>кодексу України така сама ставка очiкується й у наступних перiодах.</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4.9. Визнання ПДВ активу</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w:t>
      </w:r>
      <w:r>
        <w:rPr>
          <w:rFonts w:ascii="Times New Roman CYR" w:hAnsi="Times New Roman CYR" w:cs="Times New Roman CYR"/>
          <w:sz w:val="24"/>
          <w:szCs w:val="24"/>
        </w:rPr>
        <w:t>вiдно до дiючого Податкового Кодексу України, зобов'язання платника ПДВ виникає на дату вiдвантаження товарiв клiєнту чи на дату отримання оплати вiд клiєнта, залежно вiд того, що вiдбувається ранiше. Кредит з ПДВ виникає у момент отримання податкової накл</w:t>
      </w:r>
      <w:r>
        <w:rPr>
          <w:rFonts w:ascii="Times New Roman CYR" w:hAnsi="Times New Roman CYR" w:cs="Times New Roman CYR"/>
          <w:sz w:val="24"/>
          <w:szCs w:val="24"/>
        </w:rPr>
        <w:t>адної. Крiм того, законодавство визначає, що податковi накладнi мають бути зареєстрованi та включенi до складу податкового кредиту платником податку в термiн 365 днiв з дати їхнього складання, пiсля чого платник податку втрачає право вiднести ПДВ за такими</w:t>
      </w:r>
      <w:r>
        <w:rPr>
          <w:rFonts w:ascii="Times New Roman CYR" w:hAnsi="Times New Roman CYR" w:cs="Times New Roman CYR"/>
          <w:sz w:val="24"/>
          <w:szCs w:val="24"/>
        </w:rPr>
        <w:t xml:space="preserve"> декларацiями на податковий кредит.</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4.10. Судовi позови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значною мiрою використовує судження при оцiнцi та визнаннi резервiв та ризику умовних зобов'язань стосовно позовiв, що перебувають на розглядi в судi, або iнших неврегульованих претензiй,</w:t>
      </w:r>
      <w:r>
        <w:rPr>
          <w:rFonts w:ascii="Times New Roman CYR" w:hAnsi="Times New Roman CYR" w:cs="Times New Roman CYR"/>
          <w:sz w:val="24"/>
          <w:szCs w:val="24"/>
        </w:rPr>
        <w:t xml:space="preserve"> що пiдлягають вирiшенню шляхом переговорiв, посередництва, арбiтражного провадження або урядового регулювання, а також iнших умовних зобов'язань. Судження необхiднi для оцiнки ймовiрностi задоволення позову, що перебуває на розглядi, або виникнення зобов'</w:t>
      </w:r>
      <w:r>
        <w:rPr>
          <w:rFonts w:ascii="Times New Roman CYR" w:hAnsi="Times New Roman CYR" w:cs="Times New Roman CYR"/>
          <w:sz w:val="24"/>
          <w:szCs w:val="24"/>
        </w:rPr>
        <w:t>язання, а також для визначення можливих обсягiв кiнцевого вiдшкодування. З огляду на невизначенiсть, що притаманна процесу оцiнки, фактичнi збитки можуть вiдрiзнятися вiд попередньо визначених забезпечень. Такi оцiнки пiдлягають змiнi по мiрi отримання нов</w:t>
      </w:r>
      <w:r>
        <w:rPr>
          <w:rFonts w:ascii="Times New Roman CYR" w:hAnsi="Times New Roman CYR" w:cs="Times New Roman CYR"/>
          <w:sz w:val="24"/>
          <w:szCs w:val="24"/>
        </w:rPr>
        <w:t>ої iнформацiї, головним чином за допомоги внутрiшнiх експертiв, за наявностi, або за пiдтримки зовнiшнiх консультантiв, як, наприклад, актуарiї або юрисконсульти. Перегляд оцiнок може мати суттєвий вплив на операцiйнi результати у майбутньому.</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IСТОТНI О</w:t>
      </w:r>
      <w:r>
        <w:rPr>
          <w:rFonts w:ascii="Times New Roman CYR" w:hAnsi="Times New Roman CYR" w:cs="Times New Roman CYR"/>
          <w:sz w:val="24"/>
          <w:szCs w:val="24"/>
        </w:rPr>
        <w:t>БЛIКОВI ПОЛIТИКИ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прийняло рiшення скористатися звiльненнями, якi передбаченi МСФЗ 1, для пiдприємств, якi вперше застосовують МСФЗ, i вiдобразило свої основнi засоби по переоцiненiй вартостi станом на 31 грудня 2012 року. Така с</w:t>
      </w:r>
      <w:r>
        <w:rPr>
          <w:rFonts w:ascii="Times New Roman CYR" w:hAnsi="Times New Roman CYR" w:cs="Times New Roman CYR"/>
          <w:sz w:val="24"/>
          <w:szCs w:val="24"/>
        </w:rPr>
        <w:t>праведлива вартiсть була прийнята Пiдприємством як умовна вартiсть на дату переходу на МСФЗ. Для визначення справедливої вартостi основних засобiв незалежним оцiнювачем використовувались методичнi пiдходи, методи та процедури, визначенi Мiжнародними й Нацi</w:t>
      </w:r>
      <w:r>
        <w:rPr>
          <w:rFonts w:ascii="Times New Roman CYR" w:hAnsi="Times New Roman CYR" w:cs="Times New Roman CYR"/>
          <w:sz w:val="24"/>
          <w:szCs w:val="24"/>
        </w:rPr>
        <w:t xml:space="preserve">ональними Стандартами оцiнки, Стандартами оцiнки RICS.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засобами на Пiдприємствi визнаються матерiальнi активи, очiкуваний строк корисного використання яких бiльше 1 року, якi використовуються у процесi виробництва, наданнi послуг, здачi в оренду</w:t>
      </w:r>
      <w:r>
        <w:rPr>
          <w:rFonts w:ascii="Times New Roman CYR" w:hAnsi="Times New Roman CYR" w:cs="Times New Roman CYR"/>
          <w:sz w:val="24"/>
          <w:szCs w:val="24"/>
        </w:rPr>
        <w:t xml:space="preserve"> iншим сторонам, для виконання адмiнiстративних або соцiальних функцiй. Об'єкти основних засобiв подiляються на виробничi та невиробничi (соцiального призначення).</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оцiнює основнi засобi за їх собiвартiстю мiнус будь-яка накопичена амортизацiя </w:t>
      </w:r>
      <w:r>
        <w:rPr>
          <w:rFonts w:ascii="Times New Roman CYR" w:hAnsi="Times New Roman CYR" w:cs="Times New Roman CYR"/>
          <w:sz w:val="24"/>
          <w:szCs w:val="24"/>
        </w:rPr>
        <w:t>та будь-якi накопиченi збитки вiд зменшення корисностi. Витрати на позики, пов'язанi безпосередньо з будiвництвом квалiфiкованого активу, якщо для доведення останнього до стану використання за призначенням знадобиться значний перiод часу, пiдлягають капiта</w:t>
      </w:r>
      <w:r>
        <w:rPr>
          <w:rFonts w:ascii="Times New Roman CYR" w:hAnsi="Times New Roman CYR" w:cs="Times New Roman CYR"/>
          <w:sz w:val="24"/>
          <w:szCs w:val="24"/>
        </w:rPr>
        <w:t>лiзацiї.</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Пiсля визнання основнi засоби подiляються на групи, якi являють собою позицiї зi значною вартiстю i по яким можуть бути використанi певнi перiоди амортизацiї.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Амортизацiя по об'єктам основних засобiв нараховується прямолiнiйним методом, виходячи </w:t>
      </w:r>
      <w:r>
        <w:rPr>
          <w:rFonts w:ascii="Times New Roman CYR" w:hAnsi="Times New Roman CYR" w:cs="Times New Roman CYR"/>
          <w:sz w:val="24"/>
          <w:szCs w:val="24"/>
        </w:rPr>
        <w:t>зi строку корисного використання об'єкта. Нарахування амортизацiї починається з дати, коли актив стає придатним для використання, тобто коли доведений до стану, в якому вiн придатний до експлуатацiї у спосiб, визначений керiвництвом. Очiкуванi строки корис</w:t>
      </w:r>
      <w:r>
        <w:rPr>
          <w:rFonts w:ascii="Times New Roman CYR" w:hAnsi="Times New Roman CYR" w:cs="Times New Roman CYR"/>
          <w:sz w:val="24"/>
          <w:szCs w:val="24"/>
        </w:rPr>
        <w:t>ної служби наведено нижче:</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групи</w:t>
      </w:r>
      <w:r>
        <w:rPr>
          <w:rFonts w:ascii="Times New Roman CYR" w:hAnsi="Times New Roman CYR" w:cs="Times New Roman CYR"/>
          <w:sz w:val="24"/>
          <w:szCs w:val="24"/>
        </w:rPr>
        <w:tab/>
        <w:t>Найменування основних засобiв</w:t>
      </w:r>
      <w:r>
        <w:rPr>
          <w:rFonts w:ascii="Times New Roman CYR" w:hAnsi="Times New Roman CYR" w:cs="Times New Roman CYR"/>
          <w:sz w:val="24"/>
          <w:szCs w:val="24"/>
        </w:rPr>
        <w:tab/>
        <w:t>Термiн корисного використання, роки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Група 1</w:t>
      </w:r>
      <w:r>
        <w:rPr>
          <w:rFonts w:ascii="Times New Roman CYR" w:hAnsi="Times New Roman CYR" w:cs="Times New Roman CYR"/>
          <w:sz w:val="24"/>
          <w:szCs w:val="24"/>
        </w:rPr>
        <w:tab/>
        <w:t>Земельнi дiлянки</w:t>
      </w:r>
      <w:r>
        <w:rPr>
          <w:rFonts w:ascii="Times New Roman CYR" w:hAnsi="Times New Roman CYR" w:cs="Times New Roman CYR"/>
          <w:sz w:val="24"/>
          <w:szCs w:val="24"/>
        </w:rPr>
        <w:tab/>
        <w:t>----</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Група 3</w:t>
      </w:r>
      <w:r>
        <w:rPr>
          <w:rFonts w:ascii="Times New Roman CYR" w:hAnsi="Times New Roman CYR" w:cs="Times New Roman CYR"/>
          <w:sz w:val="24"/>
          <w:szCs w:val="24"/>
        </w:rPr>
        <w:tab/>
        <w:t>Будiвлi, споруди, передавальнi пристрої</w:t>
      </w:r>
      <w:r>
        <w:rPr>
          <w:rFonts w:ascii="Times New Roman CYR" w:hAnsi="Times New Roman CYR" w:cs="Times New Roman CYR"/>
          <w:sz w:val="24"/>
          <w:szCs w:val="24"/>
        </w:rPr>
        <w:tab/>
        <w:t>20-50</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Група 4</w:t>
      </w:r>
      <w:r>
        <w:rPr>
          <w:rFonts w:ascii="Times New Roman CYR" w:hAnsi="Times New Roman CYR" w:cs="Times New Roman CYR"/>
          <w:sz w:val="24"/>
          <w:szCs w:val="24"/>
        </w:rPr>
        <w:tab/>
        <w:t>Машини та обладнання (крiм комп'ютерної технiки)</w:t>
      </w:r>
      <w:r>
        <w:rPr>
          <w:rFonts w:ascii="Times New Roman CYR" w:hAnsi="Times New Roman CYR" w:cs="Times New Roman CYR"/>
          <w:sz w:val="24"/>
          <w:szCs w:val="24"/>
        </w:rPr>
        <w:tab/>
        <w:t>5-10</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Група 4</w:t>
      </w:r>
      <w:r>
        <w:rPr>
          <w:rFonts w:ascii="Times New Roman CYR" w:hAnsi="Times New Roman CYR" w:cs="Times New Roman CYR"/>
          <w:sz w:val="24"/>
          <w:szCs w:val="24"/>
        </w:rPr>
        <w:tab/>
        <w:t>К</w:t>
      </w:r>
      <w:r>
        <w:rPr>
          <w:rFonts w:ascii="Times New Roman CYR" w:hAnsi="Times New Roman CYR" w:cs="Times New Roman CYR"/>
          <w:sz w:val="24"/>
          <w:szCs w:val="24"/>
        </w:rPr>
        <w:t>омп'ютерна технiка</w:t>
      </w:r>
      <w:r>
        <w:rPr>
          <w:rFonts w:ascii="Times New Roman CYR" w:hAnsi="Times New Roman CYR" w:cs="Times New Roman CYR"/>
          <w:sz w:val="24"/>
          <w:szCs w:val="24"/>
        </w:rPr>
        <w:tab/>
        <w:t>2-3</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Група 5 </w:t>
      </w:r>
      <w:r>
        <w:rPr>
          <w:rFonts w:ascii="Times New Roman CYR" w:hAnsi="Times New Roman CYR" w:cs="Times New Roman CYR"/>
          <w:sz w:val="24"/>
          <w:szCs w:val="24"/>
        </w:rPr>
        <w:tab/>
        <w:t>Транспортнi засоби</w:t>
      </w:r>
      <w:r>
        <w:rPr>
          <w:rFonts w:ascii="Times New Roman CYR" w:hAnsi="Times New Roman CYR" w:cs="Times New Roman CYR"/>
          <w:sz w:val="24"/>
          <w:szCs w:val="24"/>
        </w:rPr>
        <w:tab/>
        <w:t>5-7</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Група 6</w:t>
      </w:r>
      <w:r>
        <w:rPr>
          <w:rFonts w:ascii="Times New Roman CYR" w:hAnsi="Times New Roman CYR" w:cs="Times New Roman CYR"/>
          <w:sz w:val="24"/>
          <w:szCs w:val="24"/>
        </w:rPr>
        <w:tab/>
        <w:t>Iнструменти, прилади, iнвентар</w:t>
      </w:r>
      <w:r>
        <w:rPr>
          <w:rFonts w:ascii="Times New Roman CYR" w:hAnsi="Times New Roman CYR" w:cs="Times New Roman CYR"/>
          <w:sz w:val="24"/>
          <w:szCs w:val="24"/>
        </w:rPr>
        <w:tab/>
        <w:t>4-6</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Група 9</w:t>
      </w:r>
      <w:r>
        <w:rPr>
          <w:rFonts w:ascii="Times New Roman CYR" w:hAnsi="Times New Roman CYR" w:cs="Times New Roman CYR"/>
          <w:sz w:val="24"/>
          <w:szCs w:val="24"/>
        </w:rPr>
        <w:tab/>
        <w:t>Iншi основнi засоби</w:t>
      </w:r>
      <w:r>
        <w:rPr>
          <w:rFonts w:ascii="Times New Roman CYR" w:hAnsi="Times New Roman CYR" w:cs="Times New Roman CYR"/>
          <w:sz w:val="24"/>
          <w:szCs w:val="24"/>
        </w:rPr>
        <w:tab/>
        <w:t>12-13</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Земля не амортизується, оскiльки неможливо надiйно оцiнити строк її корисного використання.</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Подальшi витрати. Пiдприємство не визнає в балансовiй вартостi об'єкта основних засобiв витрати на щоденне обслуговування, ремонт та технiчне обслуговування об'єкта. Цi витрати визнаються в прибутку чи збитку, коли вони понесенi. В балансовiй вартостi об'є</w:t>
      </w:r>
      <w:r>
        <w:rPr>
          <w:rFonts w:ascii="Times New Roman CYR" w:hAnsi="Times New Roman CYR" w:cs="Times New Roman CYR"/>
          <w:sz w:val="24"/>
          <w:szCs w:val="24"/>
        </w:rPr>
        <w:t>кта основних засобiв визнаються такi подальшi витрати, якi задовольняють критерiям визнання активу.</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на капiтальний ремонт (модернiзацiю, реконструкцiю) додаються до балансової вартостi об'єкта основних засобiв при умовi, що очiкується додатковий пр</w:t>
      </w:r>
      <w:r>
        <w:rPr>
          <w:rFonts w:ascii="Times New Roman CYR" w:hAnsi="Times New Roman CYR" w:cs="Times New Roman CYR"/>
          <w:sz w:val="24"/>
          <w:szCs w:val="24"/>
        </w:rPr>
        <w:t>итоки майбутнiх економiчних вигiд, пов'язаних з таким активом, витрати можна достовiрно оцiнити.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пов'язанi iз замiною компонента одиницi основних засобiв, збiльшують балансову вартiсть цiєї одиницi у випадку, якщо iснує ймовiрнiсть того, що пiдпри</w:t>
      </w:r>
      <w:r>
        <w:rPr>
          <w:rFonts w:ascii="Times New Roman CYR" w:hAnsi="Times New Roman CYR" w:cs="Times New Roman CYR"/>
          <w:sz w:val="24"/>
          <w:szCs w:val="24"/>
        </w:rPr>
        <w:t xml:space="preserve">ємство отримає в майбутньому економiчнi вигоди, пов'язанi Iз зазначеним компонентом, а її вартiсть можна оцiнити достовiрно. Балансова вартiсть замiненого компонента списується.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Нематерiальнi активи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Нематерiальнi активи оцiнюються за собiвартiстю за вирах</w:t>
      </w:r>
      <w:r>
        <w:rPr>
          <w:rFonts w:ascii="Times New Roman CYR" w:hAnsi="Times New Roman CYR" w:cs="Times New Roman CYR"/>
          <w:sz w:val="24"/>
          <w:szCs w:val="24"/>
        </w:rPr>
        <w:t xml:space="preserve">уванням будь-якої накопиченої амортизацiї та будь-яких накопичених збиткiв вiд зменшення корисностi. Дiапазон термiнiв корисного використання нематерiальних активiв складає вiд 1 до 10 рокiв.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Нематерiальнi активи мають обмежений або невизначений строк кор</w:t>
      </w:r>
      <w:r>
        <w:rPr>
          <w:rFonts w:ascii="Times New Roman CYR" w:hAnsi="Times New Roman CYR" w:cs="Times New Roman CYR"/>
          <w:sz w:val="24"/>
          <w:szCs w:val="24"/>
        </w:rPr>
        <w:t>исного використання.</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Нематерiальнi активи з обмеженим строком корисного використання амортизуються протягом строку корисного використання iз застосуванням прямолiнiйного методу та оцiнюються на предмет наявностi ознак можливого зменшення корисностi. Строки</w:t>
      </w:r>
      <w:r>
        <w:rPr>
          <w:rFonts w:ascii="Times New Roman CYR" w:hAnsi="Times New Roman CYR" w:cs="Times New Roman CYR"/>
          <w:sz w:val="24"/>
          <w:szCs w:val="24"/>
        </w:rPr>
        <w:t xml:space="preserve"> й метод амортизацiї нематерiальних активiв з обмеженим строком корисного використання аналiзуються щонайменше наприкiнцi кожного фiнансового року. Змiна передбачуваних строкiв чи способу отримання прогнозованих економiчних вигiд, втiлених в активах, вiдоб</w:t>
      </w:r>
      <w:r>
        <w:rPr>
          <w:rFonts w:ascii="Times New Roman CYR" w:hAnsi="Times New Roman CYR" w:cs="Times New Roman CYR"/>
          <w:sz w:val="24"/>
          <w:szCs w:val="24"/>
        </w:rPr>
        <w:t>ражається як змiна методу або перiоду амортизацiї, залежно вiд ситуацiї, й облiковується як змiна облiкової оцiнки. Витрати на амортизацiю нематерiальних активiв з обмеженим строком корисного використання визнаються у звiтi про прибутки та збитки в категор</w:t>
      </w:r>
      <w:r>
        <w:rPr>
          <w:rFonts w:ascii="Times New Roman CYR" w:hAnsi="Times New Roman CYR" w:cs="Times New Roman CYR"/>
          <w:sz w:val="24"/>
          <w:szCs w:val="24"/>
        </w:rPr>
        <w:t>iї витрат вiдповiдно до функцiй активу.</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Нематерiальнi активи, якi виникають в результатi договiрних або iнших юридичних прав, амортизуються протягом термiну чинностi цих прав.</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Нематерiальнi активи з невизначеним строком корисного використання не амортизуют</w:t>
      </w:r>
      <w:r>
        <w:rPr>
          <w:rFonts w:ascii="Times New Roman CYR" w:hAnsi="Times New Roman CYR" w:cs="Times New Roman CYR"/>
          <w:sz w:val="24"/>
          <w:szCs w:val="24"/>
        </w:rPr>
        <w:t>ься. Строк корисного використання нематерiального активу з невизначеним строком використання переглядається щорiчно з метою визначення того, наскiльки прийнятне продовжувати вiдносити цей актив до категорiї активiв iз невизначеним строком корисного викорис</w:t>
      </w:r>
      <w:r>
        <w:rPr>
          <w:rFonts w:ascii="Times New Roman CYR" w:hAnsi="Times New Roman CYR" w:cs="Times New Roman CYR"/>
          <w:sz w:val="24"/>
          <w:szCs w:val="24"/>
        </w:rPr>
        <w:t>тання. Якщо це неприйнятно, змiна оцiнки строку корисного використання з невизначеного на обмежений здiйснюється на перспективнiй основi.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Доходи або витрати вiд припинення визнання нематерiального активу оцiнюються як рiзниця мiж чистою виручкою вiд вибутт</w:t>
      </w:r>
      <w:r>
        <w:rPr>
          <w:rFonts w:ascii="Times New Roman CYR" w:hAnsi="Times New Roman CYR" w:cs="Times New Roman CYR"/>
          <w:sz w:val="24"/>
          <w:szCs w:val="24"/>
        </w:rPr>
        <w:t xml:space="preserve">я активу та балансовою вартiстю активу й визнаються у звiтi про прибутки та збитки в момент припинення визнання цього активу.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Iнвестицiйна нерухомiсть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Нерухомiсть в орендi визнається iнвестицiйною, якщо доход вiд оренди є довгостроковим та суттєвим для </w:t>
      </w:r>
      <w:r>
        <w:rPr>
          <w:rFonts w:ascii="Times New Roman CYR" w:hAnsi="Times New Roman CYR" w:cs="Times New Roman CYR"/>
          <w:sz w:val="24"/>
          <w:szCs w:val="24"/>
        </w:rPr>
        <w:t>звiтностi Пiдприємства, а також iснує можливiсть фiзичного подiлу нерухомостi та юридичного вiдокремлення (окремi об'єкти чи iзольованi примiщення всерединi об'єктiв, площi та межi яких визначено в технiчнiй документацiї на об'єкт).</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разi, якщо лише части</w:t>
      </w:r>
      <w:r>
        <w:rPr>
          <w:rFonts w:ascii="Times New Roman CYR" w:hAnsi="Times New Roman CYR" w:cs="Times New Roman CYR"/>
          <w:sz w:val="24"/>
          <w:szCs w:val="24"/>
        </w:rPr>
        <w:t>ну нерухомостi здано в оренду, i така частина вiдповiдає вказаним вище критерiям, така нерухомiсть визнається: окремо iнвестицiйною й ОЗ у вiдповiдних частинах, якщо площа нерухомостi, що здається в оренду перевищує 10% загальної площi нерухомого майна Пiд</w:t>
      </w:r>
      <w:r>
        <w:rPr>
          <w:rFonts w:ascii="Times New Roman CYR" w:hAnsi="Times New Roman CYR" w:cs="Times New Roman CYR"/>
          <w:sz w:val="24"/>
          <w:szCs w:val="24"/>
        </w:rPr>
        <w:t>приємства та вартiсть об'єктiв переданих в оренду перевищує 5% балансової вартостi ОЗ Пiдприємства. Повнiстю iнвестицiйною, якщо та частина об'єкта, що не здана в оренду й використовується власником, не перевищує 20% загального метражу нерухомостi, належно</w:t>
      </w:r>
      <w:r>
        <w:rPr>
          <w:rFonts w:ascii="Times New Roman CYR" w:hAnsi="Times New Roman CYR" w:cs="Times New Roman CYR"/>
          <w:sz w:val="24"/>
          <w:szCs w:val="24"/>
        </w:rPr>
        <w:t>ї Пiдприємству.</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Зменшення корисностi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МСБО (IAS)36 "Зменшення корисностi активiв" вимагає вiд пiдприємства проводити аналiз вартостi основних засобiв стосовно зменшення їх </w:t>
      </w:r>
      <w:r>
        <w:rPr>
          <w:rFonts w:ascii="Times New Roman CYR" w:hAnsi="Times New Roman CYR" w:cs="Times New Roman CYR"/>
          <w:sz w:val="24"/>
          <w:szCs w:val="24"/>
        </w:rPr>
        <w:lastRenderedPageBreak/>
        <w:t>корисностi щоразу, коли подiї чи змiна обставин вказують, що залишкова вартiсть акти</w:t>
      </w:r>
      <w:r>
        <w:rPr>
          <w:rFonts w:ascii="Times New Roman CYR" w:hAnsi="Times New Roman CYR" w:cs="Times New Roman CYR"/>
          <w:sz w:val="24"/>
          <w:szCs w:val="24"/>
        </w:rPr>
        <w:t>ву може бути не вiдшкодована. У випадку, коли залишкова вартiсть активу перевищує суму його очiкуваного вiдшкодування, у звiтi про прибутки та збитки визнається збиток вiд зменшення корисностi. При цьому вiдшкодовувано вартiсть активу дорiвнює бiльшiй з дв</w:t>
      </w:r>
      <w:r>
        <w:rPr>
          <w:rFonts w:ascii="Times New Roman CYR" w:hAnsi="Times New Roman CYR" w:cs="Times New Roman CYR"/>
          <w:sz w:val="24"/>
          <w:szCs w:val="24"/>
        </w:rPr>
        <w:t>ох величин: чистiй цiнi реалiзацiї або вартостi використання.</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Чиста цiна реалiзацiї - це кошти, що можуть бути отриманi вiд реалiзацiї активу на комерцiйних засадах, в той час як вартiсть використання являє собою теперiшню вартiсть очiкуваних майбутнiх гро</w:t>
      </w:r>
      <w:r>
        <w:rPr>
          <w:rFonts w:ascii="Times New Roman CYR" w:hAnsi="Times New Roman CYR" w:cs="Times New Roman CYR"/>
          <w:sz w:val="24"/>
          <w:szCs w:val="24"/>
        </w:rPr>
        <w:t>шових потокiв, що будуть отриманi в результатi подальшого використання активу та його лiквiдацiї пiсля завершення строку експлуатацiї. Сума очiкуваного вiдшкодування визначається для кожного активу або, якщо це неможливо, для одиницi, що генерує грошовi ко</w:t>
      </w:r>
      <w:r>
        <w:rPr>
          <w:rFonts w:ascii="Times New Roman CYR" w:hAnsi="Times New Roman CYR" w:cs="Times New Roman CYR"/>
          <w:sz w:val="24"/>
          <w:szCs w:val="24"/>
        </w:rPr>
        <w:t>шти.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Ранiше визнанi втрати вiд зменшення корисностi стернуються, якщо були змiни в оцiнках, що використовувалися для визначення вартостi вiдновлення. Проте на суму, що не перевищує балансову вартiсть, яка могла б бути визначеною, нiякi втрати вiд знецiненн</w:t>
      </w:r>
      <w:r>
        <w:rPr>
          <w:rFonts w:ascii="Times New Roman CYR" w:hAnsi="Times New Roman CYR" w:cs="Times New Roman CYR"/>
          <w:sz w:val="24"/>
          <w:szCs w:val="24"/>
        </w:rPr>
        <w:t>я не були визнанi в роках.</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Пiсля визнання збитку вiд зменшення корисностi амортизацiя основних засобiв коригується в майбутнiх перiодах з метою розподiлення переглянутої балансової вартостi необоротного активу на систематичної основi протягом строку корисн</w:t>
      </w:r>
      <w:r>
        <w:rPr>
          <w:rFonts w:ascii="Times New Roman CYR" w:hAnsi="Times New Roman CYR" w:cs="Times New Roman CYR"/>
          <w:sz w:val="24"/>
          <w:szCs w:val="24"/>
        </w:rPr>
        <w:t>ого використання.</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Потенцiйного збитку вiд зменшення корисностi активiв, Пiдприємство не визначило, i тому не оцiнює суму очiкуваного вiдшкодування.</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розглядає ознаки зменшення корисностi дебiторської заборгованостi як у розрiзi окремих активiв,</w:t>
      </w:r>
      <w:r>
        <w:rPr>
          <w:rFonts w:ascii="Times New Roman CYR" w:hAnsi="Times New Roman CYR" w:cs="Times New Roman CYR"/>
          <w:sz w:val="24"/>
          <w:szCs w:val="24"/>
        </w:rPr>
        <w:t xml:space="preserve"> так i в сукупностi. Всi статтi дебiторської заборгованостi оцiнюються на предмет зменшення корисностi iндивiдуально. Оцiнюючи такi статтi на предмет зменшення корисностi, пiдприємство використовує iсторичнi тенденцiї ймовiрностi дефолту, строкiв вiдшкодув</w:t>
      </w:r>
      <w:r>
        <w:rPr>
          <w:rFonts w:ascii="Times New Roman CYR" w:hAnsi="Times New Roman CYR" w:cs="Times New Roman CYR"/>
          <w:sz w:val="24"/>
          <w:szCs w:val="24"/>
        </w:rPr>
        <w:t>ання заборгованостi суми понесеного збитку з урахуванням суджень управлiнського персоналу стосовно того, чи є поточнi економiчнi кредитнi умови такими, що фактичнi збитки можуть бути бiльшими чи меншими, нiж очiкується на пiдставi використаних iсторичних д</w:t>
      </w:r>
      <w:r>
        <w:rPr>
          <w:rFonts w:ascii="Times New Roman CYR" w:hAnsi="Times New Roman CYR" w:cs="Times New Roman CYR"/>
          <w:sz w:val="24"/>
          <w:szCs w:val="24"/>
        </w:rPr>
        <w:t>аних.</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Необоротнi активи, призначенi для продажу</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класифiкує необоротний актив як утримуваний для продажу, якщо його балансова вартiсть буде в основному вiдшкодовуватися шляхом операцiї продажу, а не поточного використання.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Необоротнi активи, </w:t>
      </w:r>
      <w:r>
        <w:rPr>
          <w:rFonts w:ascii="Times New Roman CYR" w:hAnsi="Times New Roman CYR" w:cs="Times New Roman CYR"/>
          <w:sz w:val="24"/>
          <w:szCs w:val="24"/>
        </w:rPr>
        <w:t xml:space="preserve">утримуванi для продажу оцiнюються i вiдображаються в бухгалтерському облiку за найменшою з двох величин: балансовою або справедливою вартiстю з вирахуванням витрат на операцiї, пов'язаних з продажом. Амортизацiя на такi активи не нараховується. Збиток вiд </w:t>
      </w:r>
      <w:r>
        <w:rPr>
          <w:rFonts w:ascii="Times New Roman CYR" w:hAnsi="Times New Roman CYR" w:cs="Times New Roman CYR"/>
          <w:sz w:val="24"/>
          <w:szCs w:val="24"/>
        </w:rPr>
        <w:t>зменшення корисностi при первiсному чи подальшому списаннi активу до справедливої вартостi за вирахуванням витрат на продаж визнається у звiтi про сукупнi доходи.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 класифiкуються за такими групами: виробничi запаси, незавершене виробництво, готова продукцiя, товари.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Запаси оцiнюються за найменшою з двох величин: собiвартiстю або чистою цiною реалiзацiї.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Чиста цiна реалiзацiї - це розрахункова продажна цiна в </w:t>
      </w:r>
      <w:r>
        <w:rPr>
          <w:rFonts w:ascii="Times New Roman CYR" w:hAnsi="Times New Roman CYR" w:cs="Times New Roman CYR"/>
          <w:sz w:val="24"/>
          <w:szCs w:val="24"/>
        </w:rPr>
        <w:t>ходi звичайної дiяльностi за вирахуванням розрахункових витрат на завершення виробництва та розрахункових витрат, якi необхiдно понести для реалiзацiї.</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Собiвартiсть запасiв включає витрати на придбання, витрати на переробку та iншi витрати, що забезпечують</w:t>
      </w:r>
      <w:r>
        <w:rPr>
          <w:rFonts w:ascii="Times New Roman CYR" w:hAnsi="Times New Roman CYR" w:cs="Times New Roman CYR"/>
          <w:sz w:val="24"/>
          <w:szCs w:val="24"/>
        </w:rPr>
        <w:t xml:space="preserve"> поточне мiсцезнаходження i стан запасiв.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на придбання запасiв складаються iз:</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цiни придбання;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мита та iнших податкiв (за вирахуванням тих, котрi будуть вiдшкодованi пiдприємству);</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витрати на транспортування, погрузну - розгрузку;</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iншi ви</w:t>
      </w:r>
      <w:r>
        <w:rPr>
          <w:rFonts w:ascii="Times New Roman CYR" w:hAnsi="Times New Roman CYR" w:cs="Times New Roman CYR"/>
          <w:sz w:val="24"/>
          <w:szCs w:val="24"/>
        </w:rPr>
        <w:t>трати, безпосередньо пов'язанi з придбанням готової продукцiї та матерiалiв.</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на переробку запасiв включають:</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t>прямi витрати на оплату працi працiвникiв, безпосередньо пов'язаних з виробництвом продукцiї;</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систематично розподiленi постiйнi та змiн</w:t>
      </w:r>
      <w:r>
        <w:rPr>
          <w:rFonts w:ascii="Times New Roman CYR" w:hAnsi="Times New Roman CYR" w:cs="Times New Roman CYR"/>
          <w:sz w:val="24"/>
          <w:szCs w:val="24"/>
        </w:rPr>
        <w:t>нi виробничi накладнi витрати, що виникають при переробцi сировини в готову продукцiю.</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Вiднесення постiйних виробничих накладних витрат до складу витрат на переробку здiйснюється на основi нормальної продуктивностi виробничих потужностей. Змiннi виробничi </w:t>
      </w:r>
      <w:r>
        <w:rPr>
          <w:rFonts w:ascii="Times New Roman CYR" w:hAnsi="Times New Roman CYR" w:cs="Times New Roman CYR"/>
          <w:sz w:val="24"/>
          <w:szCs w:val="24"/>
        </w:rPr>
        <w:t>накладнi витрати розподiляються на кожну одиницю продукцiї на основi фактичного використання виробничих потужностей.</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затрати включаються у собiвартiсть запасiв в частинi їх здiйснення для забезпечення поточного мiсцезнаходження i стану запасiв.</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 вкл</w:t>
      </w:r>
      <w:r>
        <w:rPr>
          <w:rFonts w:ascii="Times New Roman CYR" w:hAnsi="Times New Roman CYR" w:cs="Times New Roman CYR"/>
          <w:sz w:val="24"/>
          <w:szCs w:val="24"/>
        </w:rPr>
        <w:t>ючаються у собiвартiсть запасiв i визнаються у якостi витрат у перiодi виникнення:</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понаднормативнi витрати сировини, працi та iнших виробничих витрат;</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витрати на зберiгання, якщо тiльки вони не є необхiдними у процесi виробництва для переходу до наступ</w:t>
      </w:r>
      <w:r>
        <w:rPr>
          <w:rFonts w:ascii="Times New Roman CYR" w:hAnsi="Times New Roman CYR" w:cs="Times New Roman CYR"/>
          <w:sz w:val="24"/>
          <w:szCs w:val="24"/>
        </w:rPr>
        <w:t>ної стадiї виробництва;</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адмiнiстративнi накладнi витрати, що не сприяють забезпеченню поточного мiсцезнаходження та стану запасiв;</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витрати на реалiзацiю.</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списаннi у виробництво чи iншому вибуттi пiдприємство оцiнює запаси за середньою вартiстю.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w:t>
      </w:r>
      <w:r>
        <w:rPr>
          <w:rFonts w:ascii="Times New Roman CYR" w:hAnsi="Times New Roman CYR" w:cs="Times New Roman CYR"/>
          <w:sz w:val="24"/>
          <w:szCs w:val="24"/>
        </w:rPr>
        <w:t xml:space="preserve">и продажу запасiв їх балансова вартiсть визнається у якостi витрат в тому перiодi, у якому визнається вiдповiдна виручка.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Сума будь-якої уцiнки запасiв до чистої цiни продажу та усi втрати запасiв визнаються витратами того перiоду, у якому була здiйснена </w:t>
      </w:r>
      <w:r>
        <w:rPr>
          <w:rFonts w:ascii="Times New Roman CYR" w:hAnsi="Times New Roman CYR" w:cs="Times New Roman CYR"/>
          <w:sz w:val="24"/>
          <w:szCs w:val="24"/>
        </w:rPr>
        <w:t xml:space="preserve">уцiнка або мали мiсце втрати.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Сума сторнування часткового списання запасiв, яка виникає в результатi збiльшення чистої цiни продажу, визнається як зменшення суми запасiв, якi визнанi витратами у тому перiодi, у якому вiдбулося сторнування.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 що вик</w:t>
      </w:r>
      <w:r>
        <w:rPr>
          <w:rFonts w:ascii="Times New Roman CYR" w:hAnsi="Times New Roman CYR" w:cs="Times New Roman CYR"/>
          <w:sz w:val="24"/>
          <w:szCs w:val="24"/>
        </w:rPr>
        <w:t>ористовуються для створення необоротних активiв, включаються до їх балансової вартостii визнаються витратами у складi амортизацiйних вiдрахувань протягом термiну корисного використання таких активiв.</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визнає резерви на знецiнення запасiв виходя</w:t>
      </w:r>
      <w:r>
        <w:rPr>
          <w:rFonts w:ascii="Times New Roman CYR" w:hAnsi="Times New Roman CYR" w:cs="Times New Roman CYR"/>
          <w:sz w:val="24"/>
          <w:szCs w:val="24"/>
        </w:rPr>
        <w:t>чи iз оцiнки кiлькостi та вартостi нелiквiдних запасiв, якi не використовуються у дiяльностi бiльше одного року. По закiнченню звiтного перiоду сума нарахованого резерву коригується в залежностi вiд результатiв iнвентаризацiї.</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Довгострокова дебiторська заборгованiсть</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п. 11 МСБО (IAS) 32 "Фiнансовi iнструменти: подання" фiнансовий актив - це будь-який актив, що є: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грошовими коштами;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iнструментом власного капiталу iншого суб'єкта господарювання;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контрактн</w:t>
      </w:r>
      <w:r>
        <w:rPr>
          <w:rFonts w:ascii="Times New Roman CYR" w:hAnsi="Times New Roman CYR" w:cs="Times New Roman CYR"/>
          <w:sz w:val="24"/>
          <w:szCs w:val="24"/>
        </w:rPr>
        <w:t xml:space="preserve">им правом: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отримувати грошовi кошти або iнший фiнансовий актив вiд iншого суб'єкта господарювання,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або  обмiнювати фiнансовi iнструменти з iншим суб'єктом господарювання за умов, якi є потенцiйно сприятливими.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цьому безумовна дебiторська та креди</w:t>
      </w:r>
      <w:r>
        <w:rPr>
          <w:rFonts w:ascii="Times New Roman CYR" w:hAnsi="Times New Roman CYR" w:cs="Times New Roman CYR"/>
          <w:sz w:val="24"/>
          <w:szCs w:val="24"/>
        </w:rPr>
        <w:t>торська заборгованiсть визнається як актив, коли пiдприємство має юридичне право отримувати грошовi кошти.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параграфу Б 5.1.1 МСФЗ (IFRS) 9 "Фiнансовi iнструменти" справедливою вартiстю фiнансового iнструмента при первiсному визнаннi є цiна оп</w:t>
      </w:r>
      <w:r>
        <w:rPr>
          <w:rFonts w:ascii="Times New Roman CYR" w:hAnsi="Times New Roman CYR" w:cs="Times New Roman CYR"/>
          <w:sz w:val="24"/>
          <w:szCs w:val="24"/>
        </w:rPr>
        <w:t>ерацiї (тобто справедлива вартiсть наданої або отриманої компенсацiї).</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Проте, якщо частина компенсацiї надана або отримана не за фiнансовий iнструмент, а за щось iнше, то справедлива вартiсть фiнансового iнструмента оцiнюється пiдприємством iз застосування</w:t>
      </w:r>
      <w:r>
        <w:rPr>
          <w:rFonts w:ascii="Times New Roman CYR" w:hAnsi="Times New Roman CYR" w:cs="Times New Roman CYR"/>
          <w:sz w:val="24"/>
          <w:szCs w:val="24"/>
        </w:rPr>
        <w:t>м вiдповiдного методу оцiнювання. Наприклад, справедливу вартiсть довгострокової позики або дебiторської заборгованостi, за якими не нараховуються вiдсотки, можна оцiнити як теперiшню вартiсть усiх майбутнiх надходжень грошових коштiв, дисконтованих iз зас</w:t>
      </w:r>
      <w:r>
        <w:rPr>
          <w:rFonts w:ascii="Times New Roman CYR" w:hAnsi="Times New Roman CYR" w:cs="Times New Roman CYR"/>
          <w:sz w:val="24"/>
          <w:szCs w:val="24"/>
        </w:rPr>
        <w:t>тосуванням переважної ринкової ставки (переважних ринкових ставок) вiдсотка на подiбний iнструмент.</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Якщо погашення заборгованостi не передбачає будь-яких додаткових платежiв за користування коштами протягом довгого часу, при первiсному визнаннi справедлива</w:t>
      </w:r>
      <w:r>
        <w:rPr>
          <w:rFonts w:ascii="Times New Roman CYR" w:hAnsi="Times New Roman CYR" w:cs="Times New Roman CYR"/>
          <w:sz w:val="24"/>
          <w:szCs w:val="24"/>
        </w:rPr>
        <w:t xml:space="preserve"> вартiсть оцiнюється як теперiшня вартiсть усiх майбутнiх надходжень грошових коштiв.</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iнструменти та iнвестицiї</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визнає фiнансовий актив або фiнансове зобов'язання у балансi, коли i тiльки коли воно стає стороною контрактних положень</w:t>
      </w:r>
      <w:r>
        <w:rPr>
          <w:rFonts w:ascii="Times New Roman CYR" w:hAnsi="Times New Roman CYR" w:cs="Times New Roman CYR"/>
          <w:sz w:val="24"/>
          <w:szCs w:val="24"/>
        </w:rPr>
        <w:t xml:space="preserve"> щодо фiнансового iнструмента. Операцiї з придбання або продажу фiнансових iнструментiв визнаються iз застосуванням облiку за датою розрахунку. Пiдприємство визнає таки категорiї фiнансових iнструментiв:</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фiнансовий актив, доступний для продажу - акцiї з </w:t>
      </w:r>
      <w:r>
        <w:rPr>
          <w:rFonts w:ascii="Times New Roman CYR" w:hAnsi="Times New Roman CYR" w:cs="Times New Roman CYR"/>
          <w:sz w:val="24"/>
          <w:szCs w:val="24"/>
        </w:rPr>
        <w:t>вiдсотком володiння до 20%;</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iнвестицiї, утримуванi до погашення - облiгацiї та векселя;</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дебiторська заборгованiсть;</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фiнансовi зобов'язання, оцiнене за амортизованою вартiстю - кредити банкiв, довгострокова заборгованiсть.</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 час первiсного визнання </w:t>
      </w:r>
      <w:r>
        <w:rPr>
          <w:rFonts w:ascii="Times New Roman CYR" w:hAnsi="Times New Roman CYR" w:cs="Times New Roman CYR"/>
          <w:sz w:val="24"/>
          <w:szCs w:val="24"/>
        </w:rPr>
        <w:t>фiнансовi активи й зобов'язання спочатку визнаються за справедливою вартiстю плюс витрати на проведення операцiї. Справедливу вартiсть при первiсному визнаннi найкращим образом пiдтверджує цiна операцiї. Прибуток або збиток при первiсному визнаннi враховує</w:t>
      </w:r>
      <w:r>
        <w:rPr>
          <w:rFonts w:ascii="Times New Roman CYR" w:hAnsi="Times New Roman CYR" w:cs="Times New Roman CYR"/>
          <w:sz w:val="24"/>
          <w:szCs w:val="24"/>
        </w:rPr>
        <w:t>ться тiльки при виникненнi рiзницi мiж справедливою вартiстю й цiною операцiї, що можуть пiдтвердити поточнi ринковi операцiї з такими ж iнструментами або методи оцiнки, при застосуваннi яких використовуються тiльки наявнi ринковi данi, iнструмент.</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Пiсля п</w:t>
      </w:r>
      <w:r>
        <w:rPr>
          <w:rFonts w:ascii="Times New Roman CYR" w:hAnsi="Times New Roman CYR" w:cs="Times New Roman CYR"/>
          <w:sz w:val="24"/>
          <w:szCs w:val="24"/>
        </w:rPr>
        <w:t>ервiсного визнання фiнансовi зобов'язання, кредити й дебiторська заборгованiсть, а також активи, утримуванi до погашення, оцiнюються за амортизованою собiвартiстю. Амортизована собiвартiсть розраховується з використанням методу ефективної процентної ставки</w:t>
      </w:r>
      <w:r>
        <w:rPr>
          <w:rFonts w:ascii="Times New Roman CYR" w:hAnsi="Times New Roman CYR" w:cs="Times New Roman CYR"/>
          <w:sz w:val="24"/>
          <w:szCs w:val="24"/>
        </w:rPr>
        <w:t>, а для фiнансових активiв визначається за винятком збиткiв вiд знецiнення, якщо такi є. Справедлива вартiсть фiнансових зобов'язань розраховується шляхом дисконтування майбутнiх грошових потокiв за договором по поточнiй ринковiй процентнiй ставцi для анал</w:t>
      </w:r>
      <w:r>
        <w:rPr>
          <w:rFonts w:ascii="Times New Roman CYR" w:hAnsi="Times New Roman CYR" w:cs="Times New Roman CYR"/>
          <w:sz w:val="24"/>
          <w:szCs w:val="24"/>
        </w:rPr>
        <w:t>огiчних фiнансових iнструментiв.</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фiнансовi iнструменти товариства представленi дебiторською i кредиторською заборгованiстю по основнiй дiяльностi.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Дебiторська заборгованiсть, визнається як фiнансовi активи (за виключенням дебiторської заборгованост</w:t>
      </w:r>
      <w:r>
        <w:rPr>
          <w:rFonts w:ascii="Times New Roman CYR" w:hAnsi="Times New Roman CYR" w:cs="Times New Roman CYR"/>
          <w:sz w:val="24"/>
          <w:szCs w:val="24"/>
        </w:rPr>
        <w:t>i, за якою не очiкується отримання грошових коштiв або фiнансових iнструментiв, за розрахунками з операцiйної оренди та за розрахунками с бюджетом).</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видiляє короткострокову (до 1 року) i довгострокову (довше 1 року) дебiторську заборгованiсть.</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класифiкує дебiторську заборгованiсть по наступних видах:</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торгiвельна дебiторська заборгованiсть,</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заборгованiсть бюджету за податком на прибуток,</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iнша дебiторська заборгованiсть.</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Дебiторська заборгованiсть первiсно оцiнюється за справедливою вартiстю плюс вiдповiднi витрати на проведення операцiй.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Якщо є об'єктивне свiдчення того, що вiдбувся збиток вiд зменшення корисностi, балансова вартiсть активу зменшується на суму таких збит</w:t>
      </w:r>
      <w:r>
        <w:rPr>
          <w:rFonts w:ascii="Times New Roman CYR" w:hAnsi="Times New Roman CYR" w:cs="Times New Roman CYR"/>
          <w:sz w:val="24"/>
          <w:szCs w:val="24"/>
        </w:rPr>
        <w:t>кiв iз застосуванням рахунку резервiв. Резерв на покриття збиткiв вiд зменшення корисностi визначається як рiзниця мiж балансовою вартiстю та теперiшньою вартiстю очiкуваних майбутнiх грошових потокiв.</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Визначення суми резерву на покриття збиткiв вiд зменше</w:t>
      </w:r>
      <w:r>
        <w:rPr>
          <w:rFonts w:ascii="Times New Roman CYR" w:hAnsi="Times New Roman CYR" w:cs="Times New Roman CYR"/>
          <w:sz w:val="24"/>
          <w:szCs w:val="24"/>
        </w:rPr>
        <w:t>ння корисностi вiдбувається на основi аналiзу дебiторiв та вiдображає суму, яка на думку Пiдприємства достатня для покриття понесених збиткiв. Для дебiторської заборгованостi, резерви створюються на основi iндивiдуальної оцiнки кожного дебiтора. Фактори, я</w:t>
      </w:r>
      <w:r>
        <w:rPr>
          <w:rFonts w:ascii="Times New Roman CYR" w:hAnsi="Times New Roman CYR" w:cs="Times New Roman CYR"/>
          <w:sz w:val="24"/>
          <w:szCs w:val="24"/>
        </w:rPr>
        <w:t xml:space="preserve">кi Пiдприємство розглядає при визначеннi того, чи є у нього об`єктивнi свiдчення наявностi збиткiв вiд зменшення корисностi, включають iнформацiю про тенденцiї непогашення заборгованостi у строк, лiквiднiсть, платоспроможнiсть боржника.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Проведення оцiнки </w:t>
      </w:r>
      <w:r>
        <w:rPr>
          <w:rFonts w:ascii="Times New Roman CYR" w:hAnsi="Times New Roman CYR" w:cs="Times New Roman CYR"/>
          <w:sz w:val="24"/>
          <w:szCs w:val="24"/>
        </w:rPr>
        <w:t>дебiторської заборгованостi на предмет знецiнення здiйснюється комбiновано за пiдсумками року.</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Торгiвельна дебiторська заборгованiсть та заборгованiсть постачальникiв тестується на предмет знецiнення вiдповiдно до наказу про облiкову полiтику один раз, пер</w:t>
      </w:r>
      <w:r>
        <w:rPr>
          <w:rFonts w:ascii="Times New Roman CYR" w:hAnsi="Times New Roman CYR" w:cs="Times New Roman CYR"/>
          <w:sz w:val="24"/>
          <w:szCs w:val="24"/>
        </w:rPr>
        <w:t xml:space="preserve">ед складанням фiнансової рiчної звiтностi. З 01.01.2018р. дiє новий МСФО (IFRS) 9, тому з цiєї дати проводиться рiчне тестування торгiвельної дебiторської заборгованостi задля оцiнки кредитних збиткiв, очiкуваних протягом 12 мiсячного перiоду.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оцiнки </w:t>
      </w:r>
      <w:r>
        <w:rPr>
          <w:rFonts w:ascii="Times New Roman CYR" w:hAnsi="Times New Roman CYR" w:cs="Times New Roman CYR"/>
          <w:sz w:val="24"/>
          <w:szCs w:val="24"/>
        </w:rPr>
        <w:t>кредитних збиткiв використана матриця:</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Вiдсутнiсть прострочення - 0-30 днiв - 0%</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t>За кiлькiстю днiв прострочення:</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31-90 днiв - 20% ; 91-180 днiв - 40%;181-365 днiв - 50%;бiльше 365 днiв - 100%.</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Тобто, використовується допущення, що дата прострочення пла</w:t>
      </w:r>
      <w:r>
        <w:rPr>
          <w:rFonts w:ascii="Times New Roman CYR" w:hAnsi="Times New Roman CYR" w:cs="Times New Roman CYR"/>
          <w:sz w:val="24"/>
          <w:szCs w:val="24"/>
        </w:rPr>
        <w:t>тежiв бiльш нiж на 30 днiв є останнiм моментом, в якому мають бути признаватися очiкуванi збитки за весь строк, навiть у разi використання прогнозної iнформацiї.</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дебiторська заборгованiсть постачальникiв аналiзується по платоспроможностi окремих дебiт</w:t>
      </w:r>
      <w:r>
        <w:rPr>
          <w:rFonts w:ascii="Times New Roman CYR" w:hAnsi="Times New Roman CYR" w:cs="Times New Roman CYR"/>
          <w:sz w:val="24"/>
          <w:szCs w:val="24"/>
        </w:rPr>
        <w:t xml:space="preserve">орiв. По заборгованостi строком погашення вiд 6 до 12 мiсяцiв резерв нараховується у розмiрi 50%, вiд 12 до 36 мiсяцiв - у розмiрi100%.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Сума збиткiв визнається у прибутку чи збитку. Якщо у наступному перiодi сума збитку вiд зменшення корисностi зменшуєтьс</w:t>
      </w:r>
      <w:r>
        <w:rPr>
          <w:rFonts w:ascii="Times New Roman CYR" w:hAnsi="Times New Roman CYR" w:cs="Times New Roman CYR"/>
          <w:sz w:val="24"/>
          <w:szCs w:val="24"/>
        </w:rPr>
        <w:t>я i це зменшення може бути об`єктивно пов`язаним з подiєю, яка вiдбувається пiсля визнання зменшення корисностi, то попередньо визнаний збиток вiд зменшення корисностi списується за рахунок коригування резервiв. Сума сторнування визнається у прибутку чи зб</w:t>
      </w:r>
      <w:r>
        <w:rPr>
          <w:rFonts w:ascii="Times New Roman CYR" w:hAnsi="Times New Roman CYR" w:cs="Times New Roman CYR"/>
          <w:sz w:val="24"/>
          <w:szCs w:val="24"/>
        </w:rPr>
        <w:t>итку. У разi неможливостi повернення дебiторської заборгованостi вона списується за рахунок створеного резерву на покриття збиткiв вiд зменшення корисностi.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Безнадiйнi борги списуються протягом того року, коли вони такими визнанi.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Довгострокова дебiторська</w:t>
      </w:r>
      <w:r>
        <w:rPr>
          <w:rFonts w:ascii="Times New Roman CYR" w:hAnsi="Times New Roman CYR" w:cs="Times New Roman CYR"/>
          <w:sz w:val="24"/>
          <w:szCs w:val="24"/>
        </w:rPr>
        <w:t xml:space="preserve"> заборгованiсть за виданими позиками працiвникам визнається за амортизованою вартiстю у разi, якщо її сума є суттєвою i складає бiльше 5 % вартостi активiв, вiдображених у балансi.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Довгострокова кредиторська заборгованiсть визнається як фiнансовi зобов'яза</w:t>
      </w:r>
      <w:r>
        <w:rPr>
          <w:rFonts w:ascii="Times New Roman CYR" w:hAnsi="Times New Roman CYR" w:cs="Times New Roman CYR"/>
          <w:sz w:val="24"/>
          <w:szCs w:val="24"/>
        </w:rPr>
        <w:t xml:space="preserve">ння.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видiляє короткострокову (до 1 року) i довгострокову(довше 1 року) кредиторську заборгованiсть.</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класифiкує кредиторську заборгованiсть по наступних видах:</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поточна заборгованiсть за довгостроковими зобов'язаннями,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торгiвел</w:t>
      </w:r>
      <w:r>
        <w:rPr>
          <w:rFonts w:ascii="Times New Roman CYR" w:hAnsi="Times New Roman CYR" w:cs="Times New Roman CYR"/>
          <w:sz w:val="24"/>
          <w:szCs w:val="24"/>
        </w:rPr>
        <w:t>ьна кредиторська заборгованiсть,</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заборгованiсть перед бюджетом за податком на прибуток,</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iнша кредиторська заборгованiсть.</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Первiсно довгострокова заборгованiсть визнається за справедливою вартiстю, яка дорiвнює дисконтованiй сумi платежiв. У подальшому </w:t>
      </w:r>
      <w:r>
        <w:rPr>
          <w:rFonts w:ascii="Times New Roman CYR" w:hAnsi="Times New Roman CYR" w:cs="Times New Roman CYR"/>
          <w:sz w:val="24"/>
          <w:szCs w:val="24"/>
        </w:rPr>
        <w:t>суми фiнансових зобов'язань вiдображаються за амортизованою вартiстю за методом ефективної ставки вiдсотка, та будь-яка рiзниця мiж чистими надходженнями та вартiстю погашення визнається у прибутках чи збитках протягом перiоду дiї запозичень iз використанн</w:t>
      </w:r>
      <w:r>
        <w:rPr>
          <w:rFonts w:ascii="Times New Roman CYR" w:hAnsi="Times New Roman CYR" w:cs="Times New Roman CYR"/>
          <w:sz w:val="24"/>
          <w:szCs w:val="24"/>
        </w:rPr>
        <w:t>ям ефективної ставки вiдсотка.</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дисконтування довгострокової заборгованостi пiдприємство використовує ставку 10%.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31.12.2020 року ставка дисконтування не змiнювалась. При визначеннi процентної ставки пiдприємство користувалось iнформацiєю, на</w:t>
      </w:r>
      <w:r>
        <w:rPr>
          <w:rFonts w:ascii="Times New Roman CYR" w:hAnsi="Times New Roman CYR" w:cs="Times New Roman CYR"/>
          <w:sz w:val="24"/>
          <w:szCs w:val="24"/>
        </w:rPr>
        <w:t>веденою в офiцiйних виданнях НБУ. При визначеннi ставки враховувалось те, що пiдприємство має дуже низький кредитний ризик, тобто ризик того, що пiдприємство не виконає свої зобов'язання за конкретним зобов'язанням. Це пояснюється специфiкою господарювання</w:t>
      </w:r>
      <w:r>
        <w:rPr>
          <w:rFonts w:ascii="Times New Roman CYR" w:hAnsi="Times New Roman CYR" w:cs="Times New Roman CYR"/>
          <w:sz w:val="24"/>
          <w:szCs w:val="24"/>
        </w:rPr>
        <w:t xml:space="preserve"> пiдприємства, специфiкою галузi, дiючого законодавчого регулювання, вiдносин власностi.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Згортання фiнансових активiв та зобов'язань</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активи та зобов'язання згортаються, якщо Пiдприємство має юридичне право здiйснювати залiк визнаних у балансi сум</w:t>
      </w:r>
      <w:r>
        <w:rPr>
          <w:rFonts w:ascii="Times New Roman CYR" w:hAnsi="Times New Roman CYR" w:cs="Times New Roman CYR"/>
          <w:sz w:val="24"/>
          <w:szCs w:val="24"/>
        </w:rPr>
        <w:t xml:space="preserve"> i має намiр або зробити взаємозалiк, або реалiзувати актив та виконати зобов'язання одночасно.</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Грошовi кошти та їх еквiваленти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метою складання Звiту про рух грошових коштiв до складу грошових коштiв та їх еквiвалентiв включают</w:t>
      </w:r>
      <w:r>
        <w:rPr>
          <w:rFonts w:ascii="Times New Roman CYR" w:hAnsi="Times New Roman CYR" w:cs="Times New Roman CYR"/>
          <w:sz w:val="24"/>
          <w:szCs w:val="24"/>
        </w:rPr>
        <w:t>ь: готiвку в касi, депозитнi рахунки до запитання та iнвестицiї в короткостроковi ринковi грошовi iнструменти.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Депозити, термiном погашення до трьох мiсяцiв, розцiнюються Пiдприємством як еквiваленти грошових коштiв.</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Забезпечення</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Забезпечення визнаються, к</w:t>
      </w:r>
      <w:r>
        <w:rPr>
          <w:rFonts w:ascii="Times New Roman CYR" w:hAnsi="Times New Roman CYR" w:cs="Times New Roman CYR"/>
          <w:sz w:val="24"/>
          <w:szCs w:val="24"/>
        </w:rPr>
        <w:t xml:space="preserve">оли в результатi певної подiї в минулому пiдприємство має юридичнi або добровiльно взятi на себе зобов'язання, для врегулювання яких з великим ступенем iмовiрностi буде потрiбний вiдтiк ресурсiв, якi втiлюють у собi майбутнi економiчнi вигоди, i суму </w:t>
      </w:r>
      <w:r>
        <w:rPr>
          <w:rFonts w:ascii="Times New Roman CYR" w:hAnsi="Times New Roman CYR" w:cs="Times New Roman CYR"/>
          <w:sz w:val="24"/>
          <w:szCs w:val="24"/>
        </w:rPr>
        <w:lastRenderedPageBreak/>
        <w:t>зобов</w:t>
      </w:r>
      <w:r>
        <w:rPr>
          <w:rFonts w:ascii="Times New Roman CYR" w:hAnsi="Times New Roman CYR" w:cs="Times New Roman CYR"/>
          <w:sz w:val="24"/>
          <w:szCs w:val="24"/>
        </w:rPr>
        <w:t xml:space="preserve">'язання можна достовiрно оцiнити. Забезпечення оцiнюються за поточною вартiстю, виходячи з найкращої оцiнки керiвництвом витрат, необхiдних для врегулювання поточних зобов'язань на кiнець звiтного перiоду.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Забезпечення переоцiнюються щорiчно. Змiни у забе</w:t>
      </w:r>
      <w:r>
        <w:rPr>
          <w:rFonts w:ascii="Times New Roman CYR" w:hAnsi="Times New Roman CYR" w:cs="Times New Roman CYR"/>
          <w:sz w:val="24"/>
          <w:szCs w:val="24"/>
        </w:rPr>
        <w:t>зпеченнях, що виникають з плином часу, вiдображаються у звiтi про прибутки та збитки щорiчно у складi доходiв та витрат. Iншi змiни у забезпеченнях, пов'язанi зi змiною очiкуваного процесу врегулювання зобов'язань або орiєнтовної суми зобов'язання, або змi</w:t>
      </w:r>
      <w:r>
        <w:rPr>
          <w:rFonts w:ascii="Times New Roman CYR" w:hAnsi="Times New Roman CYR" w:cs="Times New Roman CYR"/>
          <w:sz w:val="24"/>
          <w:szCs w:val="24"/>
        </w:rPr>
        <w:t>нами ставок дисконтування, вiдображаються як змiна облiкової оцiнки у перiодi, коли такi змiни вiдбулись, за винятком зобов'язань з вибуття активiв, що вiдображаються у звiтi про прибутки та збитки. Довгостроковi забезпечення оцiнюються за дисконтованою ва</w:t>
      </w:r>
      <w:r>
        <w:rPr>
          <w:rFonts w:ascii="Times New Roman CYR" w:hAnsi="Times New Roman CYR" w:cs="Times New Roman CYR"/>
          <w:sz w:val="24"/>
          <w:szCs w:val="24"/>
        </w:rPr>
        <w:t>ртiстю. Враховуючи думку Пiдприємства стосовно ставки вiдсотка, яка використовується при дисконтуваннi, для визначення вартостi довгострокових забезпечень за справедливою вартiстю ставка дисконтування складала 10%. Примiтка 11.1.</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Виплати працiвникам</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w:t>
      </w:r>
      <w:r>
        <w:rPr>
          <w:rFonts w:ascii="Times New Roman CYR" w:hAnsi="Times New Roman CYR" w:cs="Times New Roman CYR"/>
          <w:sz w:val="24"/>
          <w:szCs w:val="24"/>
        </w:rPr>
        <w:t>ємство визнає короткостроковi виплати працiвникам як витрати та як зобов'язання пiсля вирахування будь-якої вже сплаченої суми. Пiдприємство визнає очiкувану вартiсть короткострокових виплат працiвникам як забезпечення вiдпусток пiд час надання працiвникам</w:t>
      </w:r>
      <w:r>
        <w:rPr>
          <w:rFonts w:ascii="Times New Roman CYR" w:hAnsi="Times New Roman CYR" w:cs="Times New Roman CYR"/>
          <w:sz w:val="24"/>
          <w:szCs w:val="24"/>
        </w:rPr>
        <w:t>и послуг, якi збiльшують їхнi права на майбутнi виплати вiдпускних.</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здiйснює певнi вiдрахування Єдиного соцiального внеску за ставками, що дiють протягом року, виходячи з нарахованої заробiтної плати. Цi вiдрахування вiдображаються як витрати </w:t>
      </w:r>
      <w:r>
        <w:rPr>
          <w:rFonts w:ascii="Times New Roman CYR" w:hAnsi="Times New Roman CYR" w:cs="Times New Roman CYR"/>
          <w:sz w:val="24"/>
          <w:szCs w:val="24"/>
        </w:rPr>
        <w:t xml:space="preserve">у тому звiтному перiодi, до якого вiдноситься вiдповiдна заробiтна плата.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Товариство вiдповiдно до вимог законодавства України здiйснює вiдшкодування витрат Державного пенсiйного фонду України на виплату i доставку пенсiй, призначених працiвника</w:t>
      </w:r>
      <w:r>
        <w:rPr>
          <w:rFonts w:ascii="Times New Roman CYR" w:hAnsi="Times New Roman CYR" w:cs="Times New Roman CYR"/>
          <w:sz w:val="24"/>
          <w:szCs w:val="24"/>
        </w:rPr>
        <w:t xml:space="preserve">м Товариства на пiльгових умовах за роботу у важких i шкiдливих умовах працi. Витрати Товаристваза такими платежами включенi до статт i"iншi операцiйнi витрати". Дана сума включається до витрат того перiоду, коли вони фактично понесенi.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Дивiденди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Дивiден</w:t>
      </w:r>
      <w:r>
        <w:rPr>
          <w:rFonts w:ascii="Times New Roman CYR" w:hAnsi="Times New Roman CYR" w:cs="Times New Roman CYR"/>
          <w:sz w:val="24"/>
          <w:szCs w:val="24"/>
        </w:rPr>
        <w:t>ди, визначенi управлiнським персоналом, не вираховуються з величини нерозподiленого прибутку до моменту затвердження їх суми на загальних рiчних зборах акцiонерiв.</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Умовнi зобов'язання та активи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визнає умовнi активи. Стисла iнформацiя про ум</w:t>
      </w:r>
      <w:r>
        <w:rPr>
          <w:rFonts w:ascii="Times New Roman CYR" w:hAnsi="Times New Roman CYR" w:cs="Times New Roman CYR"/>
          <w:sz w:val="24"/>
          <w:szCs w:val="24"/>
        </w:rPr>
        <w:t>овний актив розкривається, коли надходження економiчних вигод є ймовiрним.</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не визнає умовнi зобов'язання у фiнансовiй звiтностi за винятком випадкiв, коли ймовiрнiсть вибуття ресурсiв, котрi втiлюють у собi економiчнi вигоди не є вiддаленою а </w:t>
      </w:r>
      <w:r>
        <w:rPr>
          <w:rFonts w:ascii="Times New Roman CYR" w:hAnsi="Times New Roman CYR" w:cs="Times New Roman CYR"/>
          <w:sz w:val="24"/>
          <w:szCs w:val="24"/>
        </w:rPr>
        <w:t>також суму цих зобов'язань можна достатньо достовiрно оцiнити.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розкриває iнформацiю про них в примiтках до фiнансової звiтностi крiм випадкiв, коли можливiсть вибуття ресурсiв, котрi втiлюють у собi економiчнi вигоди є малоймовiрною.</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Доходи та</w:t>
      </w:r>
      <w:r>
        <w:rPr>
          <w:rFonts w:ascii="Times New Roman CYR" w:hAnsi="Times New Roman CYR" w:cs="Times New Roman CYR"/>
          <w:sz w:val="24"/>
          <w:szCs w:val="24"/>
        </w:rPr>
        <w:t xml:space="preserve"> витрати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Доходи та витрати визнаються за методом нарахування. Дохiд визнається, коли iснує переконливий доказ, зазвичай у формi укладеного договору купiвлi-продажу, того, що суттєвi ризики та вигоди, пов'язанi з володiнням, були переданi покупцевi, отриман</w:t>
      </w:r>
      <w:r>
        <w:rPr>
          <w:rFonts w:ascii="Times New Roman CYR" w:hAnsi="Times New Roman CYR" w:cs="Times New Roman CYR"/>
          <w:sz w:val="24"/>
          <w:szCs w:val="24"/>
        </w:rPr>
        <w:t>ня оплати є ймовiрним, вiдповiднi витрати та потенцiйнi повернення продукцiї можуть бути оцiненi достовiрно, припинено участь в управлiннi проданою продукцiєю, i при цьому може бути достовiрно оцiнена сума доходiв вiд основної дiяльностi. Якщо iснує ймовiр</w:t>
      </w:r>
      <w:r>
        <w:rPr>
          <w:rFonts w:ascii="Times New Roman CYR" w:hAnsi="Times New Roman CYR" w:cs="Times New Roman CYR"/>
          <w:sz w:val="24"/>
          <w:szCs w:val="24"/>
        </w:rPr>
        <w:t>нiсть надання знижок, i їх сума може бути достовiрно оцiнена, тодi знижка визнається як зменшення доходу вiд основної дiяльностi при визнаннi реалiзацiї продукцiї. Момент передачi ризикiв та вигiд залежить вiд конкретних умов договорiв купiвлi-продажу.</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w:t>
      </w:r>
      <w:r>
        <w:rPr>
          <w:rFonts w:ascii="Times New Roman CYR" w:hAnsi="Times New Roman CYR" w:cs="Times New Roman CYR"/>
          <w:sz w:val="24"/>
          <w:szCs w:val="24"/>
        </w:rPr>
        <w:t>iд вiд надання послуг вiдображається в момент виникнення незалежно вiд дати надходження коштiв i визначається, виходячи iз ступеня завершеностi операцiї з надання послуг на дату балансу.</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отримує доходи вiд основного та iнших видiв дiяльностi. </w:t>
      </w:r>
      <w:r>
        <w:rPr>
          <w:rFonts w:ascii="Times New Roman CYR" w:hAnsi="Times New Roman CYR" w:cs="Times New Roman CYR"/>
          <w:sz w:val="24"/>
          <w:szCs w:val="24"/>
        </w:rPr>
        <w:t xml:space="preserve">До складу доходiв, що пов'язанi з основним видом дiяльностi належать доходи вiд реалiзацiї щебеневої продукцiї. До складу доходiв вiд реалiзацiї послуг належать доходи вiд вiдшкодування залiзничного тарифу та iнших </w:t>
      </w:r>
      <w:r>
        <w:rPr>
          <w:rFonts w:ascii="Times New Roman CYR" w:hAnsi="Times New Roman CYR" w:cs="Times New Roman CYR"/>
          <w:sz w:val="24"/>
          <w:szCs w:val="24"/>
        </w:rPr>
        <w:lastRenderedPageBreak/>
        <w:t>транспортних послуг, доходи вiд надання п</w:t>
      </w:r>
      <w:r>
        <w:rPr>
          <w:rFonts w:ascii="Times New Roman CYR" w:hAnsi="Times New Roman CYR" w:cs="Times New Roman CYR"/>
          <w:sz w:val="24"/>
          <w:szCs w:val="24"/>
        </w:rPr>
        <w:t xml:space="preserve">ослуг вiдповiдального зберiгання.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складу доходiв, що отриманi вiд iнших видiв дiяльностi належать доходи вiд реалiзацiї запасiв, здачi в операцiйну оренду майна.</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Процентнi доходи та витрати визнаються за методом нарахування на момент отримання доходiв </w:t>
      </w:r>
      <w:r>
        <w:rPr>
          <w:rFonts w:ascii="Times New Roman CYR" w:hAnsi="Times New Roman CYR" w:cs="Times New Roman CYR"/>
          <w:sz w:val="24"/>
          <w:szCs w:val="24"/>
        </w:rPr>
        <w:t>або здiйснення витрат.</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Визнання собiвартостi реалiзованої продукцiї та iнших витрат</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Витрати, понесенi у зв'язку з отриманням доходу, визнаються у тому ж перiодi, що й вiдповiднi доходи.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на позики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на позики, якi безпосередньо вiдносяться до</w:t>
      </w:r>
      <w:r>
        <w:rPr>
          <w:rFonts w:ascii="Times New Roman CYR" w:hAnsi="Times New Roman CYR" w:cs="Times New Roman CYR"/>
          <w:sz w:val="24"/>
          <w:szCs w:val="24"/>
        </w:rPr>
        <w:t xml:space="preserve"> придбання, будiвництва або виробництва квалiфiкованого активу, включаються до собiвартостi цього активу. Такi витрати на позики капiталiзуються як частина собiвартостi активу, якщо iснує ймовiрнiсть того, що вони принесуть пiдприємству майбутнi економiчнi</w:t>
      </w:r>
      <w:r>
        <w:rPr>
          <w:rFonts w:ascii="Times New Roman CYR" w:hAnsi="Times New Roman CYR" w:cs="Times New Roman CYR"/>
          <w:sz w:val="24"/>
          <w:szCs w:val="24"/>
        </w:rPr>
        <w:t xml:space="preserve"> вигоди i що цi витрати можна достовiрно оцiнити.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Якщо балансова вартiсть або очiкувана остаточна вартiсть квалiфiкованого активу перевищує суму його очiкуваного вiдшкодування або чисту вартiсть реалiзацiї, тодi балансова вартiсть списується повнiстю або ч</w:t>
      </w:r>
      <w:r>
        <w:rPr>
          <w:rFonts w:ascii="Times New Roman CYR" w:hAnsi="Times New Roman CYR" w:cs="Times New Roman CYR"/>
          <w:sz w:val="24"/>
          <w:szCs w:val="24"/>
        </w:rPr>
        <w:t>астково.</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в iноземнiй валютi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в iноземнiй валютi облiковуються в українських гривнях за офiцiйним курсом обмiну Нацiонального банку України на дату проведення операцiй.</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Монетарнi активи та зобов'язання, вираженi в iноземних валютах, перераховуються в гривню за вiдповiдними курсами обмiну НБУ на дату балансу. На дату балансу немонетарнi статтi, якiоцiнюються за iсторичною собiвартiстю в iноземною валютi, вiдображаються за </w:t>
      </w:r>
      <w:r>
        <w:rPr>
          <w:rFonts w:ascii="Times New Roman CYR" w:hAnsi="Times New Roman CYR" w:cs="Times New Roman CYR"/>
          <w:sz w:val="24"/>
          <w:szCs w:val="24"/>
        </w:rPr>
        <w:t>курсом на дату операцiї., немонетарнi статтi, якi оцiнюються за справедливою вартiстю в iноземнiй валютi, вiдображаються за курсом на дату визначення справедливої вартостi. Курсовi рiзницi, що виникли при перерахунку за монетарними статтями визнаються в пр</w:t>
      </w:r>
      <w:r>
        <w:rPr>
          <w:rFonts w:ascii="Times New Roman CYR" w:hAnsi="Times New Roman CYR" w:cs="Times New Roman CYR"/>
          <w:sz w:val="24"/>
          <w:szCs w:val="24"/>
        </w:rPr>
        <w:t xml:space="preserve">ибутку або збитку в тому перiодi, у якому вони виникають.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використовувало обмiннi курси на дату балансу за ставками НБУ.</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Оренда</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01.01.2020 року Пiдприємство застосовує МСФЗ (IFRS) 16 "Оренда" до всiх видiв оренди, включаючи оренду активiв з</w:t>
      </w:r>
      <w:r>
        <w:rPr>
          <w:rFonts w:ascii="Times New Roman CYR" w:hAnsi="Times New Roman CYR" w:cs="Times New Roman CYR"/>
          <w:sz w:val="24"/>
          <w:szCs w:val="24"/>
        </w:rPr>
        <w:t xml:space="preserve"> права користування в суборенду, крiм передбачених стандартом виключень.</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застосовує цей стандарт (на пiдставi параграфу 3 IFRS 16) до оренди нематерiальних активiв, бiологiчних активiв, до договорiв на оренду землi державної власностi, що о</w:t>
      </w:r>
      <w:r>
        <w:rPr>
          <w:rFonts w:ascii="Times New Roman CYR" w:hAnsi="Times New Roman CYR" w:cs="Times New Roman CYR"/>
          <w:sz w:val="24"/>
          <w:szCs w:val="24"/>
        </w:rPr>
        <w:t>тримана в оренду для цiлей добування корисних копалин (пiд гранiтний кар'єр).</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використовує звiльнення, запропонованi в стандартi (параграф 5 IFRS 16) та не визнає оренду по договорам:</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короткострокової оренди (термiн дiї якої, визначений згiд</w:t>
      </w:r>
      <w:r>
        <w:rPr>
          <w:rFonts w:ascii="Times New Roman CYR" w:hAnsi="Times New Roman CYR" w:cs="Times New Roman CYR"/>
          <w:sz w:val="24"/>
          <w:szCs w:val="24"/>
        </w:rPr>
        <w:t>но стандарту становить не бiльше 12 мiсяцiв;</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такому разi Пiдприємство визнає оренднi платежi, як витрати на прямолiнiйнiй основi протягом строку оренди або на iншiй систематичнiй основi. На початку дiї договору Пiдприємство оцiнює, чи є договiр орендою а</w:t>
      </w:r>
      <w:r>
        <w:rPr>
          <w:rFonts w:ascii="Times New Roman CYR" w:hAnsi="Times New Roman CYR" w:cs="Times New Roman CYR"/>
          <w:sz w:val="24"/>
          <w:szCs w:val="24"/>
        </w:rPr>
        <w:t xml:space="preserve">бо чи мiстить договiр оренду.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проводить повторну оцiнку договору чи є договiр орендою або чи мiстить договiр оренду, лише якщо змiнюються умови договору. На дату початку оренди Пiдприємство в якостi орендаря визнає актив з права користування </w:t>
      </w:r>
      <w:r>
        <w:rPr>
          <w:rFonts w:ascii="Times New Roman CYR" w:hAnsi="Times New Roman CYR" w:cs="Times New Roman CYR"/>
          <w:sz w:val="24"/>
          <w:szCs w:val="24"/>
        </w:rPr>
        <w:t xml:space="preserve">та орендне зобов'язання за теперiшньою вартiстю орендних платежiв, не сплачених на таку дату, застосовуючи припустиму ставку вiдсоткiв оренди, або ставку додаткових запозичень.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Пiсля дати початку Пiдприємство в якостi орендаря оцiнює актив з права користу</w:t>
      </w:r>
      <w:r>
        <w:rPr>
          <w:rFonts w:ascii="Times New Roman CYR" w:hAnsi="Times New Roman CYR" w:cs="Times New Roman CYR"/>
          <w:sz w:val="24"/>
          <w:szCs w:val="24"/>
        </w:rPr>
        <w:t xml:space="preserve">вання, застосовуючи модель собiвартостi з: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вирахуванням будь-якої накопиченої амортизацiї та будь-яких накопичених збиткiв</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внаслiдок зменшення корисностi;  та</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коригуванням на будь-яку переоцiнку орендного зобов'язання.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Пiсля дати початку оренди орен</w:t>
      </w:r>
      <w:r>
        <w:rPr>
          <w:rFonts w:ascii="Times New Roman CYR" w:hAnsi="Times New Roman CYR" w:cs="Times New Roman CYR"/>
          <w:sz w:val="24"/>
          <w:szCs w:val="24"/>
        </w:rPr>
        <w:t xml:space="preserve">дар визнає у прибутку або збитку -окрiм випадкiв, коли цi витрати включаються в балансову вартiсть iншого активу, застосовуючи iншi вiдповiднi стандарти, такi обидвi складовi: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а) вiдсотки за орендним зобов'язанням; та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змiннi оренднi платежi, не включе</w:t>
      </w:r>
      <w:r>
        <w:rPr>
          <w:rFonts w:ascii="Times New Roman CYR" w:hAnsi="Times New Roman CYR" w:cs="Times New Roman CYR"/>
          <w:sz w:val="24"/>
          <w:szCs w:val="24"/>
        </w:rPr>
        <w:t>нi в оцiнку орендного зобов'язання у тому перiодi, у якому сталась подiя чи умови, якi спричинили здiйснення таких платежiв.</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як орендодавець класифiкує кожну зi своїх оренд або як операцiйну оренду, або як фiнансову оренду. Класифiкацiю оренд</w:t>
      </w:r>
      <w:r>
        <w:rPr>
          <w:rFonts w:ascii="Times New Roman CYR" w:hAnsi="Times New Roman CYR" w:cs="Times New Roman CYR"/>
          <w:sz w:val="24"/>
          <w:szCs w:val="24"/>
        </w:rPr>
        <w:t>и здiйснюють на дату початку дiї оренди; повторна оцiнка здiйснюється лише у разi модифiкацiї оренди. Змiни оцiнок (наприклад, змiни оцiнок строку економiчного експлуатацiї або лiквiдацiйної вартостi базового активу) або змiни обставин (наприклад, невикона</w:t>
      </w:r>
      <w:r>
        <w:rPr>
          <w:rFonts w:ascii="Times New Roman CYR" w:hAnsi="Times New Roman CYR" w:cs="Times New Roman CYR"/>
          <w:sz w:val="24"/>
          <w:szCs w:val="24"/>
        </w:rPr>
        <w:t>ння зобов'язань орендарем) не ведуть до нової класифiкацiї оренди з метою облiку. На дату початку оренди Пiдприємство визнає активи, утримуванi за фiнансовою орендою, у своєму звiтi про фiнансовий стан та подає їх як дебiторську заборгованiсть за сумою, що</w:t>
      </w:r>
      <w:r>
        <w:rPr>
          <w:rFonts w:ascii="Times New Roman CYR" w:hAnsi="Times New Roman CYR" w:cs="Times New Roman CYR"/>
          <w:sz w:val="24"/>
          <w:szCs w:val="24"/>
        </w:rPr>
        <w:t xml:space="preserve"> дорiвнює чистiй iнвестицiї в оренду.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дату початку оренди Пiдприємство-орендодавець щодо кожної своєї фiнансової оренди визнає таку iнформацiю:</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дохiд, який є справедливою вартiстю базового активу або якщо вона менша, -теперiшньою</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вартiстю орендних п</w:t>
      </w:r>
      <w:r>
        <w:rPr>
          <w:rFonts w:ascii="Times New Roman CYR" w:hAnsi="Times New Roman CYR" w:cs="Times New Roman CYR"/>
          <w:sz w:val="24"/>
          <w:szCs w:val="24"/>
        </w:rPr>
        <w:t>латежiв, що нараховуються орендодавцю, дисконтованою за ринковою ставкою вiдсотка;</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собiвартiсть продажу, яка є собiвартiстю або балансовою вартiстю (якщо вони рiзнi)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базового активу мiнус теперiшня вартiсть негарантованої лiквiдацiйної вартостi; та</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w:t>
      </w:r>
      <w:r>
        <w:rPr>
          <w:rFonts w:ascii="Times New Roman CYR" w:hAnsi="Times New Roman CYR" w:cs="Times New Roman CYR"/>
          <w:sz w:val="24"/>
          <w:szCs w:val="24"/>
        </w:rPr>
        <w:t>рибуток або збиток вiд продажу (який є рiзницею мiж доходом та собiвартiстю продажу).</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Пiдприємство-орендодавець визнає фiнансовий дохiд протягом строку оренди на основi моделi, яка вiдображає сталу перiодичну ставку прибутковостi на чистi iнвестицiї орендодавця в оренду. Пiдприємство-орендодавець визнає оренднi платежi вiд операцiйної оренд</w:t>
      </w:r>
      <w:r>
        <w:rPr>
          <w:rFonts w:ascii="Times New Roman CYR" w:hAnsi="Times New Roman CYR" w:cs="Times New Roman CYR"/>
          <w:sz w:val="24"/>
          <w:szCs w:val="24"/>
        </w:rPr>
        <w:t>и як дохiд на прямолiнiйнiй основi чи будь-якiй iншiй систематичнiй основi. Пiдприємство-орендодавець не визнає нiякого прибутку вiд продажу активу пiд час укладання договору про операцiйну оренду через те, що вона не є еквiвалентом продажу.</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01.0</w:t>
      </w:r>
      <w:r>
        <w:rPr>
          <w:rFonts w:ascii="Times New Roman CYR" w:hAnsi="Times New Roman CYR" w:cs="Times New Roman CYR"/>
          <w:sz w:val="24"/>
          <w:szCs w:val="24"/>
        </w:rPr>
        <w:t>1.2021 року Пiдприємством, як орендарем, не визнанi активи з права користування за довгостроковими договорами оренди по земельним дiлянкам державної власностi на пiдставi незастосування стандарту до таких видiв договорiв (параграф 3 МСФЗ 16). Iншi дiючi до</w:t>
      </w:r>
      <w:r>
        <w:rPr>
          <w:rFonts w:ascii="Times New Roman CYR" w:hAnsi="Times New Roman CYR" w:cs="Times New Roman CYR"/>
          <w:sz w:val="24"/>
          <w:szCs w:val="24"/>
        </w:rPr>
        <w:t xml:space="preserve">вгостроковi договори оренди станом на 01.01.2020 та протягом звiтного 2020 року вiдсутнi. Коригування активiв, зобов'язань, прибуткiв та збиткiв попереднiх перiодiв через введення та застосування МСФЗ 16 не проводилось.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 розрахункiв  за довгострокови</w:t>
      </w:r>
      <w:r>
        <w:rPr>
          <w:rFonts w:ascii="Times New Roman CYR" w:hAnsi="Times New Roman CYR" w:cs="Times New Roman CYR"/>
          <w:sz w:val="24"/>
          <w:szCs w:val="24"/>
        </w:rPr>
        <w:t>ми договорами оренди землi державної власностi здiйснюється на щомiсячнiй прямолiнiйнi основi (нарахування, сплата) в частинi розрахункiв з бюджетом згiдно законодавства України.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Податки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Податок на прибуток</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Податки на прибуток вiдображенi у фiнансовiй звiт</w:t>
      </w:r>
      <w:r>
        <w:rPr>
          <w:rFonts w:ascii="Times New Roman CYR" w:hAnsi="Times New Roman CYR" w:cs="Times New Roman CYR"/>
          <w:sz w:val="24"/>
          <w:szCs w:val="24"/>
        </w:rPr>
        <w:t>ностi вiдповiдно до законодавства, яке було чинним або практично набуло чинностi станом на кiнець звiтного перiоду. Витрати з податку на прибуток являють собою суму витрат з поточного та вiдстроченого податкiв. Поточний податок визначається як сума податкi</w:t>
      </w:r>
      <w:r>
        <w:rPr>
          <w:rFonts w:ascii="Times New Roman CYR" w:hAnsi="Times New Roman CYR" w:cs="Times New Roman CYR"/>
          <w:sz w:val="24"/>
          <w:szCs w:val="24"/>
        </w:rPr>
        <w:t>в на прибуток, що пiдлягають сплатi (вiдшкодуванню) щодо оподаткованого прибутку (збитку) за звiтнiй перiод. Поточнi витрати Пiдприємства за податками розраховуються з використанням податкових ставок, чинних (або в основному чинних) на дату балансу. Вiдстр</w:t>
      </w:r>
      <w:r>
        <w:rPr>
          <w:rFonts w:ascii="Times New Roman CYR" w:hAnsi="Times New Roman CYR" w:cs="Times New Roman CYR"/>
          <w:sz w:val="24"/>
          <w:szCs w:val="24"/>
        </w:rPr>
        <w:t>оченi податки розраховується за балансовим методом та являють собою податковi активи або зобов'язання, що виникають в результатi тимчасових рiзниць мiж балансовою вартiстю активу чи зобов'язання в балансi та їх податковою базою.</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Вiдстроченi податковi зобов</w:t>
      </w:r>
      <w:r>
        <w:rPr>
          <w:rFonts w:ascii="Times New Roman CYR" w:hAnsi="Times New Roman CYR" w:cs="Times New Roman CYR"/>
          <w:sz w:val="24"/>
          <w:szCs w:val="24"/>
        </w:rPr>
        <w:t>'язання визнаються, як правило, щодо всiх тимчасових рiзниць, що пiдлягають оподаткуванню. Вiдстроченi податковi активи визнаються з урахуванням iмовiрностi наявностi в майбутньому оподатковуваного прибутку, за рахунок якого можуть бути використанi тимчасо</w:t>
      </w:r>
      <w:r>
        <w:rPr>
          <w:rFonts w:ascii="Times New Roman CYR" w:hAnsi="Times New Roman CYR" w:cs="Times New Roman CYR"/>
          <w:sz w:val="24"/>
          <w:szCs w:val="24"/>
        </w:rPr>
        <w:t>вi рiзницi, що пiдлягають вирахуванню. Балансова вартiсть вiдстрочених податкових активiв переглядається щорiчно й зменшується в тiй мiрi, у якiй бiльше не iснує ймовiрностi того, що буде отриманий оподаткований прибуток, достатнiй, щоб дозволити використа</w:t>
      </w:r>
      <w:r>
        <w:rPr>
          <w:rFonts w:ascii="Times New Roman CYR" w:hAnsi="Times New Roman CYR" w:cs="Times New Roman CYR"/>
          <w:sz w:val="24"/>
          <w:szCs w:val="24"/>
        </w:rPr>
        <w:t>ти вигоду вiд вiдстроченого податкового активу повнiстю або частково.</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Вiдстрочений податок розраховується за податковими ставками, якi, як очiкується, будуть застосовуватися у перiодi реалiзацiї вiдповiдних активiв або зобов'язань. Пiдприємство визнає пото</w:t>
      </w:r>
      <w:r>
        <w:rPr>
          <w:rFonts w:ascii="Times New Roman CYR" w:hAnsi="Times New Roman CYR" w:cs="Times New Roman CYR"/>
          <w:sz w:val="24"/>
          <w:szCs w:val="24"/>
        </w:rPr>
        <w:t>чнi та вiдстроченi податки як витрати або дохiд i включає в прибуток або збиток за звiтнiй перiод, окрiм випадкiв, коли податки виникають вiд операцiй або подiй, якi визнаються прямо у власному капiталi або вiд об'єднання бiзнесу. Пiдприємство визнає поточ</w:t>
      </w:r>
      <w:r>
        <w:rPr>
          <w:rFonts w:ascii="Times New Roman CYR" w:hAnsi="Times New Roman CYR" w:cs="Times New Roman CYR"/>
          <w:sz w:val="24"/>
          <w:szCs w:val="24"/>
        </w:rPr>
        <w:t>нi та вiдстроченi податки у капiталi, якщо податок вiдноситься до статей, якi вiдображено безпосередньо у власному капiталi в тому самому чи в iншому перiодi.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Податок на додану вартiсть.</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ПДВ стягується за двома ставками: 20% при продажу на внутрiшньому рин</w:t>
      </w:r>
      <w:r>
        <w:rPr>
          <w:rFonts w:ascii="Times New Roman CYR" w:hAnsi="Times New Roman CYR" w:cs="Times New Roman CYR"/>
          <w:sz w:val="24"/>
          <w:szCs w:val="24"/>
        </w:rPr>
        <w:t>ку та iмпортi товарiв, робiт чи послуг та 0% при експортi товарiв чи наданнi послуг. Зобов'язання платника ПДВ дорiвнює загальнiй сумi ПДВ, акумульованiй за звiтний перiод, i виникає на дату вiдвантаження товарiв клiєнту чи на дату отримання оплати вiд клi</w:t>
      </w:r>
      <w:r>
        <w:rPr>
          <w:rFonts w:ascii="Times New Roman CYR" w:hAnsi="Times New Roman CYR" w:cs="Times New Roman CYR"/>
          <w:sz w:val="24"/>
          <w:szCs w:val="24"/>
        </w:rPr>
        <w:t>єнта, залежно вiд того, що вiдбувається ранiше. Кредит з ПДВ - це сума, на яку платник податку має право зменшити свої зобов'язання з ПДВ за звiтний перiод.</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Право на кредит з ПДВ виникає у момент отримання податкової накладної з ПДВ. ПДВ, який стосується п</w:t>
      </w:r>
      <w:r>
        <w:rPr>
          <w:rFonts w:ascii="Times New Roman CYR" w:hAnsi="Times New Roman CYR" w:cs="Times New Roman CYR"/>
          <w:sz w:val="24"/>
          <w:szCs w:val="24"/>
        </w:rPr>
        <w:t>родажiв та за купiвель, визнається у балансi згорнуто i показується як актив або зобов'язання в сумi, вiдображенiй у декларацiях з ПДВ. В iнших випадках ПДВ вiдображається розгорнуто.</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Виручка, витрати й активи визнаються за вирахуванням суми податку на дод</w:t>
      </w:r>
      <w:r>
        <w:rPr>
          <w:rFonts w:ascii="Times New Roman CYR" w:hAnsi="Times New Roman CYR" w:cs="Times New Roman CYR"/>
          <w:sz w:val="24"/>
          <w:szCs w:val="24"/>
        </w:rPr>
        <w:t>ану вартiсть, крiм випадкiв, коли: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податок на додану вартiсть, що виник з купiвлi активiв або послуг, не вiдшкодовується податковим органом; у цьому випадку податок з продажiв визнається вiдповiдно як частина витрат на придбання активу або частина статтi</w:t>
      </w:r>
      <w:r>
        <w:rPr>
          <w:rFonts w:ascii="Times New Roman CYR" w:hAnsi="Times New Roman CYR" w:cs="Times New Roman CYR"/>
          <w:sz w:val="24"/>
          <w:szCs w:val="24"/>
        </w:rPr>
        <w:t xml:space="preserve"> витрат;</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дебiторська i кредиторська заборгованостi вiдображаються з урахуванням суми податку на додану вартiсть, крiм авансiв виданих та авансiв отриманих, що вiдображенi за вирахуванням вiдповiдних сум ПДВ.</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Чиста сума податку на додану вартiсть, що вiдш</w:t>
      </w:r>
      <w:r>
        <w:rPr>
          <w:rFonts w:ascii="Times New Roman CYR" w:hAnsi="Times New Roman CYR" w:cs="Times New Roman CYR"/>
          <w:sz w:val="24"/>
          <w:szCs w:val="24"/>
        </w:rPr>
        <w:t>кодовується податковим органом або сплачується йому, включається в дебiторську i кредиторську заборгованiсть, вiдображену в звiтi про фiнансовий стан.</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з пов'язаними сторонами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до МСБО (IAS) 24 "Розкриття iнформацiї щодо зв'язаних сторiн", зв</w:t>
      </w:r>
      <w:r>
        <w:rPr>
          <w:rFonts w:ascii="Times New Roman CYR" w:hAnsi="Times New Roman CYR" w:cs="Times New Roman CYR"/>
          <w:sz w:val="24"/>
          <w:szCs w:val="24"/>
        </w:rPr>
        <w:t>'язанi сторони включають:</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пiдприємства, якi прямо або непрямо через одного чи бiльше посередникiв контролюють або перебувають пiд контролем, або ж перебувають пiд спiльним контролем разом з пiдприємством, яке звiтує (сюди входять холдинговi компанiї, доч</w:t>
      </w:r>
      <w:r>
        <w:rPr>
          <w:rFonts w:ascii="Times New Roman CYR" w:hAnsi="Times New Roman CYR" w:cs="Times New Roman CYR"/>
          <w:sz w:val="24"/>
          <w:szCs w:val="24"/>
        </w:rPr>
        <w:t>iрнi пiдприємства або спорiдненi дочiрнi пiдприємства);</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асоцiйованi компанiї - пiдприємства, на дiяльнiсть яких iнвестор має суттєвий вплив i якi не являються нi дочiрнiми, нi спiльним пiдприємством iнвестора;</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фiзичних осiб, якi прямо або непрямо волод</w:t>
      </w:r>
      <w:r>
        <w:rPr>
          <w:rFonts w:ascii="Times New Roman CYR" w:hAnsi="Times New Roman CYR" w:cs="Times New Roman CYR"/>
          <w:sz w:val="24"/>
          <w:szCs w:val="24"/>
        </w:rPr>
        <w:t>iють суттєвим вiдсотком голосiв у пiдприємствi, що звiтує i в результатi мають суттєвий вплив на це пiдприємство, а також близьких членiв родини кожної такої фiзичної особи;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провiдного управлiнського персоналу, тобто тих осiб, що мають повноваження та є </w:t>
      </w:r>
      <w:r>
        <w:rPr>
          <w:rFonts w:ascii="Times New Roman CYR" w:hAnsi="Times New Roman CYR" w:cs="Times New Roman CYR"/>
          <w:sz w:val="24"/>
          <w:szCs w:val="24"/>
        </w:rPr>
        <w:t>вiдповiдальними за планування, керування та контроль дiяльностi пiдприємства, що звiтує, в тому числi директорiв та керiвникiв компанiй i близьких членiв родин таких осiб;</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пiдприємств, в яких суттєвий вiдсоток голосiв належить, прямо або непрямо, особi, </w:t>
      </w:r>
      <w:r>
        <w:rPr>
          <w:rFonts w:ascii="Times New Roman CYR" w:hAnsi="Times New Roman CYR" w:cs="Times New Roman CYR"/>
          <w:sz w:val="24"/>
          <w:szCs w:val="24"/>
        </w:rPr>
        <w:t>зазначенiй в пунктах (в) чи (г), чи тi, на дiяльнiсть яких така особа здатна здiйснювати суттєвий вплив. Це охоплює пiдприємства, що належать директорам або головним акцiонерам пiдприємства, яке звiтує, i пiдприємства, що мають члена провiдного управлiнськ</w:t>
      </w:r>
      <w:r>
        <w:rPr>
          <w:rFonts w:ascii="Times New Roman CYR" w:hAnsi="Times New Roman CYR" w:cs="Times New Roman CYR"/>
          <w:sz w:val="24"/>
          <w:szCs w:val="24"/>
        </w:rPr>
        <w:t>ого персоналу разом з пiдприємством, яке звiтує.</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про те якi сторони являються зв'язаними приймають не тiльки на основi їх юридичної форми, але i виходячи з характеру стосункiв зв'язаних сторiн.</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зв'язаних сторiн пiдприємства входять пiдприємства,</w:t>
      </w:r>
      <w:r>
        <w:rPr>
          <w:rFonts w:ascii="Times New Roman CYR" w:hAnsi="Times New Roman CYR" w:cs="Times New Roman CYR"/>
          <w:sz w:val="24"/>
          <w:szCs w:val="24"/>
        </w:rPr>
        <w:t xml:space="preserve"> що прямо або непрямо, через одне або бiльше пiдприємств, контролюють пiдприємство чи контролюються ним, чи контролюються спiльно з пiдприємством та/або керiвництвом пiдприємства.</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Пов'язаними сторонами пiдприємства є: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Юридичнi особи: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"МГ "Боброва Гора" - неприбуткова органiзацiя (контроль, ПрАТ "УКБМ" є засновником суб'єкта iнвестування з долею участi 95%), код ЄДРПОУ 34753236</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Акцiонери Товариства, бенефiцiарнi власники (контролери), що володiють понад 20% акцiй Товариства та мають</w:t>
      </w:r>
      <w:r>
        <w:rPr>
          <w:rFonts w:ascii="Times New Roman CYR" w:hAnsi="Times New Roman CYR" w:cs="Times New Roman CYR"/>
          <w:sz w:val="24"/>
          <w:szCs w:val="24"/>
        </w:rPr>
        <w:t xml:space="preserve"> суттєвий вплив на Пiдприємство: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акцiонери - 2 компанiї-нерезиденти Рем Юнiверсал Лiмiтед (RAM UNIVERSAL LIMITED),Гледвiн Iндастрiал Лiмiтед, (Республiка Сейшельськi острови),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кiнцевi бенефiцiарнi власники - 2 фiзичнi особи: Крiстоф Гасснер, (Князiвст</w:t>
      </w:r>
      <w:r>
        <w:rPr>
          <w:rFonts w:ascii="Times New Roman CYR" w:hAnsi="Times New Roman CYR" w:cs="Times New Roman CYR"/>
          <w:sz w:val="24"/>
          <w:szCs w:val="24"/>
        </w:rPr>
        <w:t>во Лiхтенштейн) та Достмохамед Мохаммад Актар Хусейн (Мавританiя).</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Ключовий управлiнський персонал пiдприємства включає Генерального директора та головного бухгалтера, членiв Наглядової ради та голови Ревiзiйної комiсiї товариства.</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Управлiнський персонал: </w:t>
      </w:r>
      <w:r>
        <w:rPr>
          <w:rFonts w:ascii="Times New Roman CYR" w:hAnsi="Times New Roman CYR" w:cs="Times New Roman CYR"/>
          <w:sz w:val="24"/>
          <w:szCs w:val="24"/>
        </w:rPr>
        <w:t>протягом 2023 року Венгловський Леонiд Петович (Генеральний директор).</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рада:Андрюс Шедiс, Наталiя Коннiк (представники акцiонера Компанiї Гледвiн Iндастрiал ЛТД); Большаков I.В. (голова ревiзiйної комiсiї), Будас О.П.(член ревiзiйної комiсiї).</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w:t>
      </w:r>
      <w:r>
        <w:rPr>
          <w:rFonts w:ascii="Times New Roman CYR" w:hAnsi="Times New Roman CYR" w:cs="Times New Roman CYR"/>
          <w:sz w:val="24"/>
          <w:szCs w:val="24"/>
        </w:rPr>
        <w:t>значення справедливої вартостi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Деякi принципи облiкової полiтики Компанiї та правила розкриття iнформацiї вимагають визначення справедливої вартостi як фiнансових, так i нефiнансових активiв i зобов'язань. Справедлива вартiсть - це цiна, яка була б отриман</w:t>
      </w:r>
      <w:r>
        <w:rPr>
          <w:rFonts w:ascii="Times New Roman CYR" w:hAnsi="Times New Roman CYR" w:cs="Times New Roman CYR"/>
          <w:sz w:val="24"/>
          <w:szCs w:val="24"/>
        </w:rPr>
        <w:t xml:space="preserve">а при продажi активу або сплачена при передачi зобов'язання у ходi звичайної господарської операцiї мiж учасниками на момент оцiнки. Справедлива вартiсть була визначена для цiлей оцiнки та розкриття iнформацiї з використанням зазначених далi методiв. Там, </w:t>
      </w:r>
      <w:r>
        <w:rPr>
          <w:rFonts w:ascii="Times New Roman CYR" w:hAnsi="Times New Roman CYR" w:cs="Times New Roman CYR"/>
          <w:sz w:val="24"/>
          <w:szCs w:val="24"/>
        </w:rPr>
        <w:t>де це необхiдно, додаткова iнформацiя про припущення, зробленi у процесi визначення справедливої вартостi активу або зобов'язання, розкривається в примiтках, що стосуються даного активу або зобов'язання. При оцiнцi справедливої вартостi нефiнансового актив</w:t>
      </w:r>
      <w:r>
        <w:rPr>
          <w:rFonts w:ascii="Times New Roman CYR" w:hAnsi="Times New Roman CYR" w:cs="Times New Roman CYR"/>
          <w:sz w:val="24"/>
          <w:szCs w:val="24"/>
        </w:rPr>
        <w:t>у враховується здатнiсть учасника ринку отримувати економiчну вигоду шляхом максимального та ефективного використання активу або шляхом продажу активу iншому учасниковi ринку, який використовуватиме цей актив максимально та ефективно.</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засоби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Справ</w:t>
      </w:r>
      <w:r>
        <w:rPr>
          <w:rFonts w:ascii="Times New Roman CYR" w:hAnsi="Times New Roman CYR" w:cs="Times New Roman CYR"/>
          <w:sz w:val="24"/>
          <w:szCs w:val="24"/>
        </w:rPr>
        <w:t>едлива вартiсть об'єктiв нерухомостi заснована на ринковiй вартостi. Ринкова вартiсть об'єкта нерухомостi являє собою розрахункову оцiнку суми, на яку даний об'єкт нерухомостi може бути обмiняний (пiсля належного вивчення ринку) станом на дату проведення о</w:t>
      </w:r>
      <w:r>
        <w:rPr>
          <w:rFonts w:ascii="Times New Roman CYR" w:hAnsi="Times New Roman CYR" w:cs="Times New Roman CYR"/>
          <w:sz w:val="24"/>
          <w:szCs w:val="24"/>
        </w:rPr>
        <w:t>цiнки в результатi угоди мiж обiзнаними, незалежними один вiд одного покупцем i продавцем, бажаючими здiйснити таку операцiю. При визначеннi справедливої вартостi машин, устаткування, iнвентарю i приладдя застосовується ринковий пiдхiд i витратний пiдхiд з</w:t>
      </w:r>
      <w:r>
        <w:rPr>
          <w:rFonts w:ascii="Times New Roman CYR" w:hAnsi="Times New Roman CYR" w:cs="Times New Roman CYR"/>
          <w:sz w:val="24"/>
          <w:szCs w:val="24"/>
        </w:rPr>
        <w:t xml:space="preserve"> використанням оголошених ринкових цiн (котирувань) на подiбнi об'єкти, якщо такi є в наявностi.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разi вiдсутностi оголошених ринкових цiн (котирувань) справедлива вартiсть основних засобiв визначається, головним чином, на основi вартостi замiщення за вир</w:t>
      </w:r>
      <w:r>
        <w:rPr>
          <w:rFonts w:ascii="Times New Roman CYR" w:hAnsi="Times New Roman CYR" w:cs="Times New Roman CYR"/>
          <w:sz w:val="24"/>
          <w:szCs w:val="24"/>
        </w:rPr>
        <w:t xml:space="preserve">ахуванням зносу. Вiдповiдно до цього методу, враховується вартiсть вiдновлення або замiщення основних засобiв, скоригована на фiзичний, функцiональний чи економiчний знос, а також на старiння.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Довгострокова дебiторська заборгованiсть, дебiторська заборгов</w:t>
      </w:r>
      <w:r>
        <w:rPr>
          <w:rFonts w:ascii="Times New Roman CYR" w:hAnsi="Times New Roman CYR" w:cs="Times New Roman CYR"/>
          <w:sz w:val="24"/>
          <w:szCs w:val="24"/>
        </w:rPr>
        <w:t>анiсть за товари, роботи, послуги та iнша дебiторська заборгованiсть</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Справедлива вартiсть довгострокової дебiторської заборгованостi, дебiторської заборгованостi за товари, роботи, послуги та iншої дебiторської заборгованостi оцiнюється як теперiшня вартiс</w:t>
      </w:r>
      <w:r>
        <w:rPr>
          <w:rFonts w:ascii="Times New Roman CYR" w:hAnsi="Times New Roman CYR" w:cs="Times New Roman CYR"/>
          <w:sz w:val="24"/>
          <w:szCs w:val="24"/>
        </w:rPr>
        <w:t>ть майбутнiх грошових потокiв, дисконтованих за ринковою процентною ставкою станом на звiтну дату. Ця справедлива вартiсть визначається для цiлей розкриття iнформацiї або у разi отримання довгострокової дебiторської заборгованостi, дебiторської заборговано</w:t>
      </w:r>
      <w:r>
        <w:rPr>
          <w:rFonts w:ascii="Times New Roman CYR" w:hAnsi="Times New Roman CYR" w:cs="Times New Roman CYR"/>
          <w:sz w:val="24"/>
          <w:szCs w:val="24"/>
        </w:rPr>
        <w:t>стi за товари, роботи, послуги та iншої дебiторської заборгованостi в результатi об'єднання бiзнесу.</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Непохiднi фiнансовi зобов'язання</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Справедлива вартiсть, що визначається для цiлей розкриття iнформацiї, розраховується на основi теперiшньої вартостi майбут</w:t>
      </w:r>
      <w:r>
        <w:rPr>
          <w:rFonts w:ascii="Times New Roman CYR" w:hAnsi="Times New Roman CYR" w:cs="Times New Roman CYR"/>
          <w:sz w:val="24"/>
          <w:szCs w:val="24"/>
        </w:rPr>
        <w:t>нiх грошових потокiв по основнiй сумi вiдсотках, дисконтованих за ринковою процентною ставкою станом на звiтну дату. Ринкова процентна ставка по фiнансовiй орендi визначається виходячи з процентної ставки за аналогiчними орендними договорами.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Iєрархiя джер</w:t>
      </w:r>
      <w:r>
        <w:rPr>
          <w:rFonts w:ascii="Times New Roman CYR" w:hAnsi="Times New Roman CYR" w:cs="Times New Roman CYR"/>
          <w:sz w:val="24"/>
          <w:szCs w:val="24"/>
        </w:rPr>
        <w:t>ел визначення справедливої вартостi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Нижче у таблицi аналiзуються активи та зобов'язання, якi не мають одноразовий характер та облiковуються за справедливою вартiстю. Рiзнiрiвнi iєрархiї визначенi таким чином:</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Рiвень 1 оцiнка грунтується на котирувальних (н</w:t>
      </w:r>
      <w:r>
        <w:rPr>
          <w:rFonts w:ascii="Times New Roman CYR" w:hAnsi="Times New Roman CYR" w:cs="Times New Roman CYR"/>
          <w:sz w:val="24"/>
          <w:szCs w:val="24"/>
        </w:rPr>
        <w:t>е скоригованих) цiнах на активних ринках для iдентичних активiв або зобов'язань, до яких Компанiя має доступ на дату оцiнки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Рiвень 2 оцiнка грунтується на вхiдних даних, iнших, нiж котирувальнi цiни, включених до Рiвня 1, якi є доступними на ринку для акти</w:t>
      </w:r>
      <w:r>
        <w:rPr>
          <w:rFonts w:ascii="Times New Roman CYR" w:hAnsi="Times New Roman CYR" w:cs="Times New Roman CYR"/>
          <w:sz w:val="24"/>
          <w:szCs w:val="24"/>
        </w:rPr>
        <w:t>ву або зобов'язання прямо чи опосередковано</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Рiвень3 оцiнка грунтується на вхiдних даних щодо активу чи зобов'язання, якi є недоступними на ринку</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Компанiя визнає перехiд мiж рiвнями iєрархiї джерел визначення справедливої вартостi на кiнець звiтного перiоду</w:t>
      </w:r>
      <w:r>
        <w:rPr>
          <w:rFonts w:ascii="Times New Roman CYR" w:hAnsi="Times New Roman CYR" w:cs="Times New Roman CYR"/>
          <w:sz w:val="24"/>
          <w:szCs w:val="24"/>
        </w:rPr>
        <w:t xml:space="preserve"> у якому така змiна вiдбулася.</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20 року змiн в iєрархiї джерел визначення справедливої вартостi не вiдбувалося.</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Звiтнiсть за сегментами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Операцiйний сегмент являє собою компонент Компанiї, який залучений в комерцiйну дiяльнiсть, вiд якої вiн отримує</w:t>
      </w:r>
      <w:r>
        <w:rPr>
          <w:rFonts w:ascii="Times New Roman CYR" w:hAnsi="Times New Roman CYR" w:cs="Times New Roman CYR"/>
          <w:sz w:val="24"/>
          <w:szCs w:val="24"/>
        </w:rPr>
        <w:t xml:space="preserve"> прибутки, або несе збитки (включаючи прибутки та збитки щодо операцiй з iншими компонентами Компанiї), результати дiяльностi якого регулярно аналiзуються особою, вiдповiдальною за прийняття операцiйних рiшень при розподiлi ресурсiв мiж сегментами i при оц</w:t>
      </w:r>
      <w:r>
        <w:rPr>
          <w:rFonts w:ascii="Times New Roman CYR" w:hAnsi="Times New Roman CYR" w:cs="Times New Roman CYR"/>
          <w:sz w:val="24"/>
          <w:szCs w:val="24"/>
        </w:rPr>
        <w:t>iнцi фiнансових результатiв їх дiяльностi, i щодо якої доступна фiнансова iнформацiя.</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про доходи, витрати, активи i зобов'язання  сегментiв надається в розрiзi збуту продукцiї Товариства в Українi та на експорт.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сегментних доходiв вiдносятьс</w:t>
      </w:r>
      <w:r>
        <w:rPr>
          <w:rFonts w:ascii="Times New Roman CYR" w:hAnsi="Times New Roman CYR" w:cs="Times New Roman CYR"/>
          <w:sz w:val="24"/>
          <w:szCs w:val="24"/>
        </w:rPr>
        <w:t>я  доходи  вiд реалiзацiї продукцiї, до сегментних витрат - собiвартiсть реалiзованої продукцiї та витрати на збут. Сегментнi активи включають дебiторську заборгованiсть за поставлену продукцiю. Сегментнi зобов'язання включають аванси, одержанi вiд покупцi</w:t>
      </w:r>
      <w:r>
        <w:rPr>
          <w:rFonts w:ascii="Times New Roman CYR" w:hAnsi="Times New Roman CYR" w:cs="Times New Roman CYR"/>
          <w:sz w:val="24"/>
          <w:szCs w:val="24"/>
        </w:rPr>
        <w:t>в продукцiї. Iншi активи, зобов'язання, доходи i витрати, а також податок на прибуток контролюються Товариством в цiлому.</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Подiї пiсля звiтного перiоду</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Подiї пiсля закiнчення звiтного перiоду, що надають додаткову iнформацiю про фiнансовий стан Компанiї на кiнець звiтного перiоду (коригуючi подiї), вiдображаються у консолiдованiй фiнансовiй звiтностi. Подiї пiсля закiнчення звiтного перiоду, якi не є кори</w:t>
      </w:r>
      <w:r>
        <w:rPr>
          <w:rFonts w:ascii="Times New Roman CYR" w:hAnsi="Times New Roman CYR" w:cs="Times New Roman CYR"/>
          <w:sz w:val="24"/>
          <w:szCs w:val="24"/>
        </w:rPr>
        <w:t>гуючими подiями, вiдображаються у Примiтках до фiнансової звiтностi, якщо вони є суттєвими.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Рекласифiкацiя порiвняльної iнформацiї та виправлення помилок.</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Прийнята облiкова полiтика Товариства використана для пiдготовки фiнансової звiтностi за рiк, що зак</w:t>
      </w:r>
      <w:r>
        <w:rPr>
          <w:rFonts w:ascii="Times New Roman CYR" w:hAnsi="Times New Roman CYR" w:cs="Times New Roman CYR"/>
          <w:sz w:val="24"/>
          <w:szCs w:val="24"/>
        </w:rPr>
        <w:t>iнчився 31 грудня 2023 року, в цiлому вiдповiдає облiковiй полiтицi, що застосовувалася при пiдготовцi рiчної фiнансової звiтностi за рiк, що закiнчився 31 грудня 2020 року, за винятком прийняття нових стандартiв та iнтерпретацiй, якi набрали чинностi з 01</w:t>
      </w:r>
      <w:r>
        <w:rPr>
          <w:rFonts w:ascii="Times New Roman CYR" w:hAnsi="Times New Roman CYR" w:cs="Times New Roman CYR"/>
          <w:sz w:val="24"/>
          <w:szCs w:val="24"/>
        </w:rPr>
        <w:t xml:space="preserve"> сiчня 2020 року. Товариством не було достроково застосовано будь-який iнший стандарт, iнтерпретацiї або поправки, якi були випущенi, але ще не вступили в силу. Хоча Товариство вперше застосувало цi новi стандарти та поправки в 2020 роцi, вони не мали iсто</w:t>
      </w:r>
      <w:r>
        <w:rPr>
          <w:rFonts w:ascii="Times New Roman CYR" w:hAnsi="Times New Roman CYR" w:cs="Times New Roman CYR"/>
          <w:sz w:val="24"/>
          <w:szCs w:val="24"/>
        </w:rPr>
        <w:t>тного впливу на рiчну фiнансову звiтнiсть Товариства.</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У фiнансовiй звiтностi за 2023 рiк ретроспективного виправлення помилок не вимагалось; ре класифiкацiя порiвняльної iнформацiї за 2023 рiк не здiйснювалась.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ОПЕРАЦIЇ З ПОВ'ЯЗАНИМИ СТОРОНАМИ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ходi </w:t>
      </w:r>
      <w:r>
        <w:rPr>
          <w:rFonts w:ascii="Times New Roman CYR" w:hAnsi="Times New Roman CYR" w:cs="Times New Roman CYR"/>
          <w:sz w:val="24"/>
          <w:szCs w:val="24"/>
        </w:rPr>
        <w:t>своєї звичайної дiяльностi Компанiя надає послуги та здiйснює iншi операцiї з пов'язаними сторонами. Вiдповiдно до МСБО (IAS) 24 "Розкриття iнформацiї щодо пов'язаних осiб" сторони вважаються пов'язаними у тому випадку, коли одна сторона має можливiсть кон</w:t>
      </w:r>
      <w:r>
        <w:rPr>
          <w:rFonts w:ascii="Times New Roman CYR" w:hAnsi="Times New Roman CYR" w:cs="Times New Roman CYR"/>
          <w:sz w:val="24"/>
          <w:szCs w:val="24"/>
        </w:rPr>
        <w:t>тролювати iншу сторону або здiйснює суттєвий вплив на iншу сторону при прийняттi фiнансових та операцiйних рiшень. Пов'язанi сторони включають дочiрнi та асоцiйованi пiдприємства Компанiї, акцiонерiв Компанiї, компанiї, якi спричинюють спiльний суттєвий вп</w:t>
      </w:r>
      <w:r>
        <w:rPr>
          <w:rFonts w:ascii="Times New Roman CYR" w:hAnsi="Times New Roman CYR" w:cs="Times New Roman CYR"/>
          <w:sz w:val="24"/>
          <w:szCs w:val="24"/>
        </w:rPr>
        <w:t>лив на суб'єкт господарювання, членiв основного управлiнського персоналу Компанiї та близьких членiв їх сiмей, членiв Наглядової ради та близьких членiв їх сiмей, а також компанiї, що знаходяться пiд контролем з боку акцiонерiв, або на дiяльнiсть яких оста</w:t>
      </w:r>
      <w:r>
        <w:rPr>
          <w:rFonts w:ascii="Times New Roman CYR" w:hAnsi="Times New Roman CYR" w:cs="Times New Roman CYR"/>
          <w:sz w:val="24"/>
          <w:szCs w:val="24"/>
        </w:rPr>
        <w:t>ннi суттєво впливають.</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2023 роцi мають мiсце операцiї з пов'язаними особами ТОВ "Мисливське господарство "Боброва Гора" (компанiя пiд контролем суб'єкта </w:t>
      </w:r>
      <w:r>
        <w:rPr>
          <w:rFonts w:ascii="Times New Roman CYR" w:hAnsi="Times New Roman CYR" w:cs="Times New Roman CYR"/>
          <w:sz w:val="24"/>
          <w:szCs w:val="24"/>
        </w:rPr>
        <w:lastRenderedPageBreak/>
        <w:t xml:space="preserve">господарювання).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несе витрати на утримання (надання безповоротної фiнансової допомоги) Т</w:t>
      </w:r>
      <w:r>
        <w:rPr>
          <w:rFonts w:ascii="Times New Roman CYR" w:hAnsi="Times New Roman CYR" w:cs="Times New Roman CYR"/>
          <w:sz w:val="24"/>
          <w:szCs w:val="24"/>
        </w:rPr>
        <w:t>ОВ "МГ "Боброва Гора", якi склали у 2023 роцi - 32 тис. грн. Суми заборгованостi вiдсутнi.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Ключовий управлiнський персонал - це особи, якi мають повноваження та є вiдповiдальними, прямо або опосередковано, за планування, керiвництво i контроль за дiяльнiст</w:t>
      </w:r>
      <w:r>
        <w:rPr>
          <w:rFonts w:ascii="Times New Roman CYR" w:hAnsi="Times New Roman CYR" w:cs="Times New Roman CYR"/>
          <w:sz w:val="24"/>
          <w:szCs w:val="24"/>
        </w:rPr>
        <w:t>ю Компанiї.</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Ключовий управлiнський персонал пiдприємства включає Генерального директора та головного бухгалтера, членiв Наглядової ради та Ревiзiйної комiсiї Товариства. Члени Наглядової ради та Ревiзiйної комiсiї у звiтному та попередньому фiнансових рока</w:t>
      </w:r>
      <w:r>
        <w:rPr>
          <w:rFonts w:ascii="Times New Roman CYR" w:hAnsi="Times New Roman CYR" w:cs="Times New Roman CYR"/>
          <w:sz w:val="24"/>
          <w:szCs w:val="24"/>
        </w:rPr>
        <w:t>х не отримували винагороди вiд Пiдприємства.</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ДОХОДИ, ВИТРАТИ, ФIНАНСОВИЙ РЕЗУЛЬТАТ</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7.1. Чистий дохiд (виручка) вiд реалiзацiї продукцiї (товарiв, робiт, послуг), iншi операцiйнi та неоперацiйнi доходи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Доходи визнаютьсяза умови виконання всiх наведенихни</w:t>
      </w:r>
      <w:r>
        <w:rPr>
          <w:rFonts w:ascii="Times New Roman CYR" w:hAnsi="Times New Roman CYR" w:cs="Times New Roman CYR"/>
          <w:sz w:val="24"/>
          <w:szCs w:val="24"/>
        </w:rPr>
        <w:t>жчеумов. Пiдприємство визнає дохiд унаслiдок передачi обiцяних товарiв або послуг клiєнтам у сумi, що вiдображає компенсацiю, на яку пiдприємство очiкує мати право в обмiн на цi товари або послуги. Виручка визнається в момент, коли кожне зобов'язання задов</w:t>
      </w:r>
      <w:r>
        <w:rPr>
          <w:rFonts w:ascii="Times New Roman CYR" w:hAnsi="Times New Roman CYR" w:cs="Times New Roman CYR"/>
          <w:sz w:val="24"/>
          <w:szCs w:val="24"/>
        </w:rPr>
        <w:t>олено. Зобов'язання вважаються виконаними, коли органiзацiя передає контроль над обiцяними товарами або послугами покупцю. Це вiдбувається, коли покупець отримує пряме володiння над товарами або послугами або може отримати вiд них всi вигоди, що залишилися</w:t>
      </w:r>
      <w:r>
        <w:rPr>
          <w:rFonts w:ascii="Times New Roman CYR" w:hAnsi="Times New Roman CYR" w:cs="Times New Roman CYR"/>
          <w:sz w:val="24"/>
          <w:szCs w:val="24"/>
        </w:rPr>
        <w:t>, вiдповiдно до МСФЗ 15 "Виручка по договорах з покупцями".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Доходи Пiдприємства, розкритi у фiнансовiй звiтностi, включають:</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тисячах гривень)</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Найменування показника</w:t>
      </w:r>
      <w:r>
        <w:rPr>
          <w:rFonts w:ascii="Times New Roman CYR" w:hAnsi="Times New Roman CYR" w:cs="Times New Roman CYR"/>
          <w:sz w:val="24"/>
          <w:szCs w:val="24"/>
        </w:rPr>
        <w:tab/>
        <w:t>2022 рiк</w:t>
      </w:r>
      <w:r>
        <w:rPr>
          <w:rFonts w:ascii="Times New Roman CYR" w:hAnsi="Times New Roman CYR" w:cs="Times New Roman CYR"/>
          <w:sz w:val="24"/>
          <w:szCs w:val="24"/>
        </w:rPr>
        <w:tab/>
        <w:t>2023 рiк</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Виручка вiд реалiзацiї власної щебеневої продукцiї</w:t>
      </w:r>
      <w:r>
        <w:rPr>
          <w:rFonts w:ascii="Times New Roman CYR" w:hAnsi="Times New Roman CYR" w:cs="Times New Roman CYR"/>
          <w:sz w:val="24"/>
          <w:szCs w:val="24"/>
        </w:rPr>
        <w:tab/>
        <w:t>11947</w:t>
      </w:r>
      <w:r>
        <w:rPr>
          <w:rFonts w:ascii="Times New Roman CYR" w:hAnsi="Times New Roman CYR" w:cs="Times New Roman CYR"/>
          <w:sz w:val="24"/>
          <w:szCs w:val="24"/>
        </w:rPr>
        <w:tab/>
        <w:t>11149</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Вiдшкод</w:t>
      </w:r>
      <w:r>
        <w:rPr>
          <w:rFonts w:ascii="Times New Roman CYR" w:hAnsi="Times New Roman CYR" w:cs="Times New Roman CYR"/>
          <w:sz w:val="24"/>
          <w:szCs w:val="24"/>
        </w:rPr>
        <w:t xml:space="preserve">ування транспортних послуг (залiзничний тариф) </w:t>
      </w:r>
      <w:r>
        <w:rPr>
          <w:rFonts w:ascii="Times New Roman CYR" w:hAnsi="Times New Roman CYR" w:cs="Times New Roman CYR"/>
          <w:sz w:val="24"/>
          <w:szCs w:val="24"/>
        </w:rPr>
        <w:tab/>
        <w:t>9834</w:t>
      </w:r>
      <w:r>
        <w:rPr>
          <w:rFonts w:ascii="Times New Roman CYR" w:hAnsi="Times New Roman CYR" w:cs="Times New Roman CYR"/>
          <w:sz w:val="24"/>
          <w:szCs w:val="24"/>
        </w:rPr>
        <w:tab/>
        <w:t>12041</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Виручка вiд реалiзацiї послуг</w:t>
      </w:r>
      <w:r>
        <w:rPr>
          <w:rFonts w:ascii="Times New Roman CYR" w:hAnsi="Times New Roman CYR" w:cs="Times New Roman CYR"/>
          <w:sz w:val="24"/>
          <w:szCs w:val="24"/>
        </w:rPr>
        <w:tab/>
        <w:t>4490</w:t>
      </w:r>
      <w:r>
        <w:rPr>
          <w:rFonts w:ascii="Times New Roman CYR" w:hAnsi="Times New Roman CYR" w:cs="Times New Roman CYR"/>
          <w:sz w:val="24"/>
          <w:szCs w:val="24"/>
        </w:rPr>
        <w:tab/>
        <w:t>4284</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Виручка вiд реалiзацiї товарiв</w:t>
      </w:r>
      <w:r>
        <w:rPr>
          <w:rFonts w:ascii="Times New Roman CYR" w:hAnsi="Times New Roman CYR" w:cs="Times New Roman CYR"/>
          <w:sz w:val="24"/>
          <w:szCs w:val="24"/>
        </w:rPr>
        <w:tab/>
        <w:t>-</w:t>
      </w:r>
      <w:r>
        <w:rPr>
          <w:rFonts w:ascii="Times New Roman CYR" w:hAnsi="Times New Roman CYR" w:cs="Times New Roman CYR"/>
          <w:sz w:val="24"/>
          <w:szCs w:val="24"/>
        </w:rPr>
        <w:tab/>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Разом дохiд вiд реалiзацiї</w:t>
      </w:r>
      <w:r>
        <w:rPr>
          <w:rFonts w:ascii="Times New Roman CYR" w:hAnsi="Times New Roman CYR" w:cs="Times New Roman CYR"/>
          <w:sz w:val="24"/>
          <w:szCs w:val="24"/>
        </w:rPr>
        <w:tab/>
        <w:t>26271</w:t>
      </w:r>
      <w:r>
        <w:rPr>
          <w:rFonts w:ascii="Times New Roman CYR" w:hAnsi="Times New Roman CYR" w:cs="Times New Roman CYR"/>
          <w:sz w:val="24"/>
          <w:szCs w:val="24"/>
        </w:rPr>
        <w:tab/>
        <w:t>27475</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 т. ч.: експорт</w:t>
      </w:r>
      <w:r>
        <w:rPr>
          <w:rFonts w:ascii="Times New Roman CYR" w:hAnsi="Times New Roman CYR" w:cs="Times New Roman CYR"/>
          <w:sz w:val="24"/>
          <w:szCs w:val="24"/>
        </w:rPr>
        <w:tab/>
        <w:t>1692</w:t>
      </w:r>
      <w:r>
        <w:rPr>
          <w:rFonts w:ascii="Times New Roman CYR" w:hAnsi="Times New Roman CYR" w:cs="Times New Roman CYR"/>
          <w:sz w:val="24"/>
          <w:szCs w:val="24"/>
        </w:rPr>
        <w:tab/>
        <w:t>-</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Внутрiшнiй ринок</w:t>
      </w:r>
      <w:r>
        <w:rPr>
          <w:rFonts w:ascii="Times New Roman CYR" w:hAnsi="Times New Roman CYR" w:cs="Times New Roman CYR"/>
          <w:sz w:val="24"/>
          <w:szCs w:val="24"/>
        </w:rPr>
        <w:tab/>
        <w:t>17127</w:t>
      </w:r>
      <w:r>
        <w:rPr>
          <w:rFonts w:ascii="Times New Roman CYR" w:hAnsi="Times New Roman CYR" w:cs="Times New Roman CYR"/>
          <w:sz w:val="24"/>
          <w:szCs w:val="24"/>
        </w:rPr>
        <w:tab/>
        <w:t>31549</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доходи</w:t>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вiд куп</w:t>
      </w:r>
      <w:r>
        <w:rPr>
          <w:rFonts w:ascii="Times New Roman CYR" w:hAnsi="Times New Roman CYR" w:cs="Times New Roman CYR"/>
          <w:sz w:val="24"/>
          <w:szCs w:val="24"/>
        </w:rPr>
        <w:t>iвлi-продажу iноземної валюти711</w:t>
      </w:r>
      <w:r>
        <w:rPr>
          <w:rFonts w:ascii="Times New Roman CYR" w:hAnsi="Times New Roman CYR" w:cs="Times New Roman CYR"/>
          <w:sz w:val="24"/>
          <w:szCs w:val="24"/>
        </w:rPr>
        <w:tab/>
        <w:t>-</w:t>
      </w:r>
      <w:r>
        <w:rPr>
          <w:rFonts w:ascii="Times New Roman CYR" w:hAnsi="Times New Roman CYR" w:cs="Times New Roman CYR"/>
          <w:sz w:val="24"/>
          <w:szCs w:val="24"/>
        </w:rPr>
        <w:tab/>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вiд реалiзацiї iнших оборотних активiв712</w:t>
      </w:r>
      <w:r>
        <w:rPr>
          <w:rFonts w:ascii="Times New Roman CYR" w:hAnsi="Times New Roman CYR" w:cs="Times New Roman CYR"/>
          <w:sz w:val="24"/>
          <w:szCs w:val="24"/>
        </w:rPr>
        <w:tab/>
        <w:t>107</w:t>
      </w:r>
      <w:r>
        <w:rPr>
          <w:rFonts w:ascii="Times New Roman CYR" w:hAnsi="Times New Roman CYR" w:cs="Times New Roman CYR"/>
          <w:sz w:val="24"/>
          <w:szCs w:val="24"/>
        </w:rPr>
        <w:tab/>
        <w:t>4400</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вiд операцiйної оренди активiв 719</w:t>
      </w:r>
      <w:r>
        <w:rPr>
          <w:rFonts w:ascii="Times New Roman CYR" w:hAnsi="Times New Roman CYR" w:cs="Times New Roman CYR"/>
          <w:sz w:val="24"/>
          <w:szCs w:val="24"/>
        </w:rPr>
        <w:tab/>
        <w:t>-</w:t>
      </w:r>
      <w:r>
        <w:rPr>
          <w:rFonts w:ascii="Times New Roman CYR" w:hAnsi="Times New Roman CYR" w:cs="Times New Roman CYR"/>
          <w:sz w:val="24"/>
          <w:szCs w:val="24"/>
        </w:rPr>
        <w:tab/>
        <w:t>175</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вiд операцiйної курсової рiзницi714</w:t>
      </w:r>
      <w:r>
        <w:rPr>
          <w:rFonts w:ascii="Times New Roman CYR" w:hAnsi="Times New Roman CYR" w:cs="Times New Roman CYR"/>
          <w:sz w:val="24"/>
          <w:szCs w:val="24"/>
        </w:rPr>
        <w:tab/>
        <w:t>217</w:t>
      </w:r>
      <w:r>
        <w:rPr>
          <w:rFonts w:ascii="Times New Roman CYR" w:hAnsi="Times New Roman CYR" w:cs="Times New Roman CYR"/>
          <w:sz w:val="24"/>
          <w:szCs w:val="24"/>
        </w:rPr>
        <w:tab/>
        <w:t>88</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вiд списання кредиторської заборгованостi</w:t>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вiд списання запчастин716</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Разом, Iншiй операцiйний доход</w:t>
      </w:r>
      <w:r>
        <w:rPr>
          <w:rFonts w:ascii="Times New Roman CYR" w:hAnsi="Times New Roman CYR" w:cs="Times New Roman CYR"/>
          <w:sz w:val="24"/>
          <w:szCs w:val="24"/>
        </w:rPr>
        <w:tab/>
        <w:t>324</w:t>
      </w:r>
      <w:r>
        <w:rPr>
          <w:rFonts w:ascii="Times New Roman CYR" w:hAnsi="Times New Roman CYR" w:cs="Times New Roman CYR"/>
          <w:sz w:val="24"/>
          <w:szCs w:val="24"/>
        </w:rPr>
        <w:tab/>
        <w:t>4663</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доходи(отриманi % за банкiвськими рахунками)</w:t>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Разом:</w:t>
      </w:r>
      <w:r>
        <w:rPr>
          <w:rFonts w:ascii="Times New Roman CYR" w:hAnsi="Times New Roman CYR" w:cs="Times New Roman CYR"/>
          <w:sz w:val="24"/>
          <w:szCs w:val="24"/>
        </w:rPr>
        <w:tab/>
        <w:t>26595</w:t>
      </w:r>
      <w:r>
        <w:rPr>
          <w:rFonts w:ascii="Times New Roman CYR" w:hAnsi="Times New Roman CYR" w:cs="Times New Roman CYR"/>
          <w:sz w:val="24"/>
          <w:szCs w:val="24"/>
        </w:rPr>
        <w:tab/>
        <w:t>32138</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7.2. Собiвартiсть реалiзованої продукцiї (товарiв, робiт, послуг), адмiнiстративнi та збутовi витрати, </w:t>
      </w:r>
      <w:r>
        <w:rPr>
          <w:rFonts w:ascii="Times New Roman CYR" w:hAnsi="Times New Roman CYR" w:cs="Times New Roman CYR"/>
          <w:sz w:val="24"/>
          <w:szCs w:val="24"/>
        </w:rPr>
        <w:t>iншi операцiйнi та неоперацiйнi витрати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вiдображаються в бухгалтерському облiку одночасно зi зменшенням активiв або збiльшенням зобов'язань. Облiк витрат здiйснюється з дотриманням принципу нарахування й вiдповiдностi доходiв i витрат. Доходи й вит</w:t>
      </w:r>
      <w:r>
        <w:rPr>
          <w:rFonts w:ascii="Times New Roman CYR" w:hAnsi="Times New Roman CYR" w:cs="Times New Roman CYR"/>
          <w:sz w:val="24"/>
          <w:szCs w:val="24"/>
        </w:rPr>
        <w:t xml:space="preserve">рати вiдображаються в бухгалтерському облiку й фiнансовiй </w:t>
      </w:r>
      <w:r>
        <w:rPr>
          <w:rFonts w:ascii="Times New Roman CYR" w:hAnsi="Times New Roman CYR" w:cs="Times New Roman CYR"/>
          <w:sz w:val="24"/>
          <w:szCs w:val="24"/>
        </w:rPr>
        <w:lastRenderedPageBreak/>
        <w:t>звiтностi в момент їх виникнення, незалежно вiд дати надходження або сплати грошових коштiв. Вiдображення витрат Товариства та розкриття iнформацiї у фiнансовiй звiтностi здiйснюється по методу клас</w:t>
      </w:r>
      <w:r>
        <w:rPr>
          <w:rFonts w:ascii="Times New Roman CYR" w:hAnsi="Times New Roman CYR" w:cs="Times New Roman CYR"/>
          <w:sz w:val="24"/>
          <w:szCs w:val="24"/>
        </w:rPr>
        <w:t>ифiкацiї витрат за функцiональним призначенням. Iнформацiя про операцiйнi витрати в розрiзi елементiв (включаючи данi о видатках на амортизацiю, матерiальних витратах i виплат працiвникам) приведена у роздiлi II Звiту про фiнансовi результати (Звiту про су</w:t>
      </w:r>
      <w:r>
        <w:rPr>
          <w:rFonts w:ascii="Times New Roman CYR" w:hAnsi="Times New Roman CYR" w:cs="Times New Roman CYR"/>
          <w:sz w:val="24"/>
          <w:szCs w:val="24"/>
        </w:rPr>
        <w:t>купний дохiд).</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Товариства класифiкованi у сумах:</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тисячах гривень)</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Найменування показника</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тис. грн.</w:t>
      </w:r>
      <w:r>
        <w:rPr>
          <w:rFonts w:ascii="Times New Roman CYR" w:hAnsi="Times New Roman CYR" w:cs="Times New Roman CYR"/>
          <w:sz w:val="24"/>
          <w:szCs w:val="24"/>
        </w:rPr>
        <w:tab/>
        <w:t>2022 рiк</w:t>
      </w:r>
      <w:r>
        <w:rPr>
          <w:rFonts w:ascii="Times New Roman CYR" w:hAnsi="Times New Roman CYR" w:cs="Times New Roman CYR"/>
          <w:sz w:val="24"/>
          <w:szCs w:val="24"/>
        </w:rPr>
        <w:tab/>
        <w:t>2023 рiк</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Собiвартiсть реалiзованої продукцiї (товарiв, робiт, послуг)</w:t>
      </w:r>
      <w:r>
        <w:rPr>
          <w:rFonts w:ascii="Times New Roman CYR" w:hAnsi="Times New Roman CYR" w:cs="Times New Roman CYR"/>
          <w:sz w:val="24"/>
          <w:szCs w:val="24"/>
        </w:rPr>
        <w:tab/>
        <w:t>20564</w:t>
      </w:r>
      <w:r>
        <w:rPr>
          <w:rFonts w:ascii="Times New Roman CYR" w:hAnsi="Times New Roman CYR" w:cs="Times New Roman CYR"/>
          <w:sz w:val="24"/>
          <w:szCs w:val="24"/>
        </w:rPr>
        <w:tab/>
        <w:t>18553</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Адмiнiстративнi витрати</w:t>
      </w:r>
      <w:r>
        <w:rPr>
          <w:rFonts w:ascii="Times New Roman CYR" w:hAnsi="Times New Roman CYR" w:cs="Times New Roman CYR"/>
          <w:sz w:val="24"/>
          <w:szCs w:val="24"/>
        </w:rPr>
        <w:tab/>
        <w:t>5414</w:t>
      </w:r>
      <w:r>
        <w:rPr>
          <w:rFonts w:ascii="Times New Roman CYR" w:hAnsi="Times New Roman CYR" w:cs="Times New Roman CYR"/>
          <w:sz w:val="24"/>
          <w:szCs w:val="24"/>
        </w:rPr>
        <w:tab/>
        <w:t>5898</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на збут</w:t>
      </w:r>
      <w:r>
        <w:rPr>
          <w:rFonts w:ascii="Times New Roman CYR" w:hAnsi="Times New Roman CYR" w:cs="Times New Roman CYR"/>
          <w:sz w:val="24"/>
          <w:szCs w:val="24"/>
        </w:rPr>
        <w:tab/>
        <w:t>1010</w:t>
      </w:r>
      <w:r>
        <w:rPr>
          <w:rFonts w:ascii="Times New Roman CYR" w:hAnsi="Times New Roman CYR" w:cs="Times New Roman CYR"/>
          <w:sz w:val="24"/>
          <w:szCs w:val="24"/>
        </w:rPr>
        <w:t>1</w:t>
      </w:r>
      <w:r>
        <w:rPr>
          <w:rFonts w:ascii="Times New Roman CYR" w:hAnsi="Times New Roman CYR" w:cs="Times New Roman CYR"/>
          <w:sz w:val="24"/>
          <w:szCs w:val="24"/>
        </w:rPr>
        <w:tab/>
        <w:t>12272</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операцiйнi витрати</w:t>
      </w:r>
      <w:r>
        <w:rPr>
          <w:rFonts w:ascii="Times New Roman CYR" w:hAnsi="Times New Roman CYR" w:cs="Times New Roman CYR"/>
          <w:sz w:val="24"/>
          <w:szCs w:val="24"/>
        </w:rPr>
        <w:tab/>
        <w:t>8948</w:t>
      </w:r>
      <w:r>
        <w:rPr>
          <w:rFonts w:ascii="Times New Roman CYR" w:hAnsi="Times New Roman CYR" w:cs="Times New Roman CYR"/>
          <w:sz w:val="24"/>
          <w:szCs w:val="24"/>
        </w:rPr>
        <w:tab/>
        <w:t>12231</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витрати (винагорода за договорами фiнансового лiзингу; переоцiнка забезпечення на рекультивацiю внаслiдок скорочення перiоду дисконтування)</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(дохiд) з податку на прибуток</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Разом:</w:t>
      </w:r>
      <w:r>
        <w:rPr>
          <w:rFonts w:ascii="Times New Roman CYR" w:hAnsi="Times New Roman CYR" w:cs="Times New Roman CYR"/>
          <w:sz w:val="24"/>
          <w:szCs w:val="24"/>
        </w:rPr>
        <w:tab/>
        <w:t>45027</w:t>
      </w:r>
      <w:r>
        <w:rPr>
          <w:rFonts w:ascii="Times New Roman CYR" w:hAnsi="Times New Roman CYR" w:cs="Times New Roman CYR"/>
          <w:sz w:val="24"/>
          <w:szCs w:val="24"/>
        </w:rPr>
        <w:tab/>
        <w:t>4895</w:t>
      </w:r>
      <w:r>
        <w:rPr>
          <w:rFonts w:ascii="Times New Roman CYR" w:hAnsi="Times New Roman CYR" w:cs="Times New Roman CYR"/>
          <w:sz w:val="24"/>
          <w:szCs w:val="24"/>
        </w:rPr>
        <w:t>4</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Фiнансовий результат дiяльностi ПрАТ "УКБМ" склав:</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тисячах гривень)</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Чистий фiнансовий результат</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тис. грн.</w:t>
      </w:r>
      <w:r>
        <w:rPr>
          <w:rFonts w:ascii="Times New Roman CYR" w:hAnsi="Times New Roman CYR" w:cs="Times New Roman CYR"/>
          <w:sz w:val="24"/>
          <w:szCs w:val="24"/>
        </w:rPr>
        <w:tab/>
        <w:t>2022 рiк</w:t>
      </w:r>
      <w:r>
        <w:rPr>
          <w:rFonts w:ascii="Times New Roman CYR" w:hAnsi="Times New Roman CYR" w:cs="Times New Roman CYR"/>
          <w:sz w:val="24"/>
          <w:szCs w:val="24"/>
        </w:rPr>
        <w:tab/>
        <w:t>2023 рiк</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Прибуток (збиток)</w:t>
      </w:r>
      <w:r>
        <w:rPr>
          <w:rFonts w:ascii="Times New Roman CYR" w:hAnsi="Times New Roman CYR" w:cs="Times New Roman CYR"/>
          <w:sz w:val="24"/>
          <w:szCs w:val="24"/>
        </w:rPr>
        <w:tab/>
        <w:t>-18448</w:t>
      </w:r>
      <w:r>
        <w:rPr>
          <w:rFonts w:ascii="Times New Roman CYR" w:hAnsi="Times New Roman CYR" w:cs="Times New Roman CYR"/>
          <w:sz w:val="24"/>
          <w:szCs w:val="24"/>
        </w:rPr>
        <w:tab/>
        <w:t>-17469</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Сукупний дохiд</w:t>
      </w:r>
      <w:r>
        <w:rPr>
          <w:rFonts w:ascii="Times New Roman CYR" w:hAnsi="Times New Roman CYR" w:cs="Times New Roman CYR"/>
          <w:sz w:val="24"/>
          <w:szCs w:val="24"/>
        </w:rPr>
        <w:tab/>
        <w:t>-18448</w:t>
      </w:r>
      <w:r>
        <w:rPr>
          <w:rFonts w:ascii="Times New Roman CYR" w:hAnsi="Times New Roman CYR" w:cs="Times New Roman CYR"/>
          <w:sz w:val="24"/>
          <w:szCs w:val="24"/>
        </w:rPr>
        <w:tab/>
        <w:t>-17469</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НЕОБОРОТНI АКТИВИ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8.1. Нематерiальнi активи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31.12.2023 до складу нематерiальних активiв включається придбане у 2015роцiпрограмне забезпечення "1С Пiдприємство. 8.3: Управлiння виробничим пiдприємством, редакцiя1.3" вартiстю 490 тис. грн. та витрати понесенi при  продовженi термiну дiї лiце</w:t>
      </w:r>
      <w:r>
        <w:rPr>
          <w:rFonts w:ascii="Times New Roman CYR" w:hAnsi="Times New Roman CYR" w:cs="Times New Roman CYR"/>
          <w:sz w:val="24"/>
          <w:szCs w:val="24"/>
        </w:rPr>
        <w:t>нзiї до 2040 року на використання надр при видобутку корисних копалин.</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нижченаведенiй таблицi розкривається iнформацiя про рух нематерiальних активiв - Iншi нематерiальнi активи (програмне забезпечення) - за рiк, який закiнчився 31грудня 2023 року:</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Показ</w:t>
      </w:r>
      <w:r>
        <w:rPr>
          <w:rFonts w:ascii="Times New Roman CYR" w:hAnsi="Times New Roman CYR" w:cs="Times New Roman CYR"/>
          <w:sz w:val="24"/>
          <w:szCs w:val="24"/>
        </w:rPr>
        <w:t>ник</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тис. грн.</w:t>
      </w:r>
      <w:r>
        <w:rPr>
          <w:rFonts w:ascii="Times New Roman CYR" w:hAnsi="Times New Roman CYR" w:cs="Times New Roman CYR"/>
          <w:sz w:val="24"/>
          <w:szCs w:val="24"/>
        </w:rPr>
        <w:tab/>
        <w:t>Вартiсть на початок року</w:t>
      </w:r>
      <w:r>
        <w:rPr>
          <w:rFonts w:ascii="Times New Roman CYR" w:hAnsi="Times New Roman CYR" w:cs="Times New Roman CYR"/>
          <w:sz w:val="24"/>
          <w:szCs w:val="24"/>
        </w:rPr>
        <w:tab/>
        <w:t>Надiйшло за рiк</w:t>
      </w:r>
      <w:r>
        <w:rPr>
          <w:rFonts w:ascii="Times New Roman CYR" w:hAnsi="Times New Roman CYR" w:cs="Times New Roman CYR"/>
          <w:sz w:val="24"/>
          <w:szCs w:val="24"/>
        </w:rPr>
        <w:tab/>
        <w:t>Вибуло за рiк</w:t>
      </w:r>
      <w:r>
        <w:rPr>
          <w:rFonts w:ascii="Times New Roman CYR" w:hAnsi="Times New Roman CYR" w:cs="Times New Roman CYR"/>
          <w:sz w:val="24"/>
          <w:szCs w:val="24"/>
        </w:rPr>
        <w:tab/>
        <w:t>Амортизацiйнi вiдрахування за рiк</w:t>
      </w:r>
      <w:r>
        <w:rPr>
          <w:rFonts w:ascii="Times New Roman CYR" w:hAnsi="Times New Roman CYR" w:cs="Times New Roman CYR"/>
          <w:sz w:val="24"/>
          <w:szCs w:val="24"/>
        </w:rPr>
        <w:tab/>
        <w:t>Iншi змiни вартостi</w:t>
      </w:r>
      <w:r>
        <w:rPr>
          <w:rFonts w:ascii="Times New Roman CYR" w:hAnsi="Times New Roman CYR" w:cs="Times New Roman CYR"/>
          <w:sz w:val="24"/>
          <w:szCs w:val="24"/>
        </w:rPr>
        <w:tab/>
        <w:t>Вартiсть на кiнець року</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Первiсна вартiсть </w:t>
      </w:r>
      <w:r>
        <w:rPr>
          <w:rFonts w:ascii="Times New Roman CYR" w:hAnsi="Times New Roman CYR" w:cs="Times New Roman CYR"/>
          <w:sz w:val="24"/>
          <w:szCs w:val="24"/>
        </w:rPr>
        <w:tab/>
        <w:t>4434</w:t>
      </w:r>
      <w:r>
        <w:rPr>
          <w:rFonts w:ascii="Times New Roman CYR" w:hAnsi="Times New Roman CYR" w:cs="Times New Roman CYR"/>
          <w:sz w:val="24"/>
          <w:szCs w:val="24"/>
        </w:rPr>
        <w:tab/>
      </w:r>
      <w:r>
        <w:rPr>
          <w:rFonts w:ascii="Times New Roman CYR" w:hAnsi="Times New Roman CYR" w:cs="Times New Roman CYR"/>
          <w:sz w:val="24"/>
          <w:szCs w:val="24"/>
        </w:rPr>
        <w:tab/>
        <w:t>-</w:t>
      </w:r>
      <w:r>
        <w:rPr>
          <w:rFonts w:ascii="Times New Roman CYR" w:hAnsi="Times New Roman CYR" w:cs="Times New Roman CYR"/>
          <w:sz w:val="24"/>
          <w:szCs w:val="24"/>
        </w:rPr>
        <w:tab/>
        <w:t>х</w:t>
      </w:r>
      <w:r>
        <w:rPr>
          <w:rFonts w:ascii="Times New Roman CYR" w:hAnsi="Times New Roman CYR" w:cs="Times New Roman CYR"/>
          <w:sz w:val="24"/>
          <w:szCs w:val="24"/>
        </w:rPr>
        <w:tab/>
        <w:t>-</w:t>
      </w:r>
      <w:r>
        <w:rPr>
          <w:rFonts w:ascii="Times New Roman CYR" w:hAnsi="Times New Roman CYR" w:cs="Times New Roman CYR"/>
          <w:sz w:val="24"/>
          <w:szCs w:val="24"/>
        </w:rPr>
        <w:tab/>
        <w:t>4434</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Накопичена амортизацiя</w:t>
      </w:r>
      <w:r>
        <w:rPr>
          <w:rFonts w:ascii="Times New Roman CYR" w:hAnsi="Times New Roman CYR" w:cs="Times New Roman CYR"/>
          <w:sz w:val="24"/>
          <w:szCs w:val="24"/>
        </w:rPr>
        <w:tab/>
        <w:t>470</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251</w:t>
      </w:r>
      <w:r>
        <w:rPr>
          <w:rFonts w:ascii="Times New Roman CYR" w:hAnsi="Times New Roman CYR" w:cs="Times New Roman CYR"/>
          <w:sz w:val="24"/>
          <w:szCs w:val="24"/>
        </w:rPr>
        <w:tab/>
        <w:t>-</w:t>
      </w:r>
      <w:r>
        <w:rPr>
          <w:rFonts w:ascii="Times New Roman CYR" w:hAnsi="Times New Roman CYR" w:cs="Times New Roman CYR"/>
          <w:sz w:val="24"/>
          <w:szCs w:val="24"/>
        </w:rPr>
        <w:tab/>
        <w:t>721</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Балансова вартiсть</w:t>
      </w:r>
      <w:r>
        <w:rPr>
          <w:rFonts w:ascii="Times New Roman CYR" w:hAnsi="Times New Roman CYR" w:cs="Times New Roman CYR"/>
          <w:sz w:val="24"/>
          <w:szCs w:val="24"/>
        </w:rPr>
        <w:tab/>
        <w:t>3964</w:t>
      </w:r>
      <w:r>
        <w:rPr>
          <w:rFonts w:ascii="Times New Roman CYR" w:hAnsi="Times New Roman CYR" w:cs="Times New Roman CYR"/>
          <w:sz w:val="24"/>
          <w:szCs w:val="24"/>
        </w:rPr>
        <w:tab/>
      </w:r>
      <w:r>
        <w:rPr>
          <w:rFonts w:ascii="Times New Roman CYR" w:hAnsi="Times New Roman CYR" w:cs="Times New Roman CYR"/>
          <w:sz w:val="24"/>
          <w:szCs w:val="24"/>
        </w:rPr>
        <w:tab/>
        <w:t>-</w:t>
      </w:r>
      <w:r>
        <w:rPr>
          <w:rFonts w:ascii="Times New Roman CYR" w:hAnsi="Times New Roman CYR" w:cs="Times New Roman CYR"/>
          <w:sz w:val="24"/>
          <w:szCs w:val="24"/>
        </w:rPr>
        <w:tab/>
        <w:t>250</w:t>
      </w:r>
      <w:r>
        <w:rPr>
          <w:rFonts w:ascii="Times New Roman CYR" w:hAnsi="Times New Roman CYR" w:cs="Times New Roman CYR"/>
          <w:sz w:val="24"/>
          <w:szCs w:val="24"/>
        </w:rPr>
        <w:tab/>
        <w:t>-</w:t>
      </w:r>
      <w:r>
        <w:rPr>
          <w:rFonts w:ascii="Times New Roman CYR" w:hAnsi="Times New Roman CYR" w:cs="Times New Roman CYR"/>
          <w:sz w:val="24"/>
          <w:szCs w:val="24"/>
        </w:rPr>
        <w:tab/>
        <w:t>3713</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8.2. Основнi засоби, незавершенi капiтальнi iнвестицiї</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Незавершенi капiтальнi iнвестицiї - об'єкти, що знаходяться в процесi незавершеного будiвництва визнаються Пiдприємством як окремi елементи основних засобiв, але, зважаючи на особливостi затверд</w:t>
      </w:r>
      <w:r>
        <w:rPr>
          <w:rFonts w:ascii="Times New Roman CYR" w:hAnsi="Times New Roman CYR" w:cs="Times New Roman CYR"/>
          <w:sz w:val="24"/>
          <w:szCs w:val="24"/>
        </w:rPr>
        <w:t>женої форми звiту про фiнансовий стан, вартiсть об'єктiв незавершеного будiвництва у балансi вiдображена у окремiй статтi у складi Роздiлу 1 "Необоротнi активи".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31.12.2023р. вартiсть незавершеного будiвництва (основних засобiв не готових для використан</w:t>
      </w:r>
      <w:r>
        <w:rPr>
          <w:rFonts w:ascii="Times New Roman CYR" w:hAnsi="Times New Roman CYR" w:cs="Times New Roman CYR"/>
          <w:sz w:val="24"/>
          <w:szCs w:val="24"/>
        </w:rPr>
        <w:t>ня) складає 1151,0тис.грн.(на 01.01.2023 - 4542тис. грн.), що включає капiталiзованi витрати.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проводить перевiрку наявностi iндикаторiв знецiнення балансової вартостi матерiальних необоротних активiв на кожну звiтну дату (за зовнiшнiми i внутр</w:t>
      </w:r>
      <w:r>
        <w:rPr>
          <w:rFonts w:ascii="Times New Roman CYR" w:hAnsi="Times New Roman CYR" w:cs="Times New Roman CYR"/>
          <w:sz w:val="24"/>
          <w:szCs w:val="24"/>
        </w:rPr>
        <w:t xml:space="preserve">iшнiми факторами). У разi виявлення будь-яких таких iндикаторiв розраховується вiдшкодована вартiсть вiдповiдного активу для визначення розмiру збитку вiд знецiнення (якщо такий є).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2022-2023 роках Пiдприємством не виявлено ознак знецiнення об'єктiв осн</w:t>
      </w:r>
      <w:r>
        <w:rPr>
          <w:rFonts w:ascii="Times New Roman CYR" w:hAnsi="Times New Roman CYR" w:cs="Times New Roman CYR"/>
          <w:sz w:val="24"/>
          <w:szCs w:val="24"/>
        </w:rPr>
        <w:t>овних засобiв, в тому числi об'єктiв на стадiї будiвництва (не готових до експлуатацiї).</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вiдображенi у фiнансовiй звiтностi за iсторичною собiвартiстю, що визначена як рiзниця мiж первiсною вартiстю та накопиченим зносом.</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нарахов</w:t>
      </w:r>
      <w:r>
        <w:rPr>
          <w:rFonts w:ascii="Times New Roman CYR" w:hAnsi="Times New Roman CYR" w:cs="Times New Roman CYR"/>
          <w:sz w:val="24"/>
          <w:szCs w:val="24"/>
        </w:rPr>
        <w:t>ана прямолiнiйним методом виходячи зi встановленого строку корисного використання об'єктiв. У 2023 роцi встановленi строки корисного використання об'єктiв основних засобiв Пiдприємством не змiнювались.</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Накопичена амортизацiя станом на 31.12.2023 р. станови</w:t>
      </w:r>
      <w:r>
        <w:rPr>
          <w:rFonts w:ascii="Times New Roman CYR" w:hAnsi="Times New Roman CYR" w:cs="Times New Roman CYR"/>
          <w:sz w:val="24"/>
          <w:szCs w:val="24"/>
        </w:rPr>
        <w:t>ть 70,89% (на 01.01.2021-73,75%) первiсної вартостi основних засобiв. нижченаведенiй таблицi розкривається iнформацiя про рух основних засобiв за рiк, який закiнчився 31грудня 2023 року:</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Показник</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Тис. грн.</w:t>
      </w:r>
      <w:r>
        <w:rPr>
          <w:rFonts w:ascii="Times New Roman CYR" w:hAnsi="Times New Roman CYR" w:cs="Times New Roman CYR"/>
          <w:sz w:val="24"/>
          <w:szCs w:val="24"/>
        </w:rPr>
        <w:tab/>
        <w:t>Будинки, споруди та передавальнi пристрої</w:t>
      </w:r>
      <w:r>
        <w:rPr>
          <w:rFonts w:ascii="Times New Roman CYR" w:hAnsi="Times New Roman CYR" w:cs="Times New Roman CYR"/>
          <w:sz w:val="24"/>
          <w:szCs w:val="24"/>
        </w:rPr>
        <w:tab/>
        <w:t>Машини та обладнання</w:t>
      </w:r>
      <w:r>
        <w:rPr>
          <w:rFonts w:ascii="Times New Roman CYR" w:hAnsi="Times New Roman CYR" w:cs="Times New Roman CYR"/>
          <w:sz w:val="24"/>
          <w:szCs w:val="24"/>
        </w:rPr>
        <w:tab/>
        <w:t>Транспортнi засоби</w:t>
      </w:r>
      <w:r>
        <w:rPr>
          <w:rFonts w:ascii="Times New Roman CYR" w:hAnsi="Times New Roman CYR" w:cs="Times New Roman CYR"/>
          <w:sz w:val="24"/>
          <w:szCs w:val="24"/>
        </w:rPr>
        <w:tab/>
        <w:t>Iнструменти, прилади, iнвентар</w:t>
      </w:r>
      <w:r>
        <w:rPr>
          <w:rFonts w:ascii="Times New Roman CYR" w:hAnsi="Times New Roman CYR" w:cs="Times New Roman CYR"/>
          <w:sz w:val="24"/>
          <w:szCs w:val="24"/>
        </w:rPr>
        <w:tab/>
        <w:t>Актив розкривних робiт</w:t>
      </w:r>
      <w:r>
        <w:rPr>
          <w:rFonts w:ascii="Times New Roman CYR" w:hAnsi="Times New Roman CYR" w:cs="Times New Roman CYR"/>
          <w:sz w:val="24"/>
          <w:szCs w:val="24"/>
        </w:rPr>
        <w:tab/>
        <w:t>Всього</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станом на початок звiтного року</w:t>
      </w:r>
      <w:r>
        <w:rPr>
          <w:rFonts w:ascii="Times New Roman CYR" w:hAnsi="Times New Roman CYR" w:cs="Times New Roman CYR"/>
          <w:sz w:val="24"/>
          <w:szCs w:val="24"/>
        </w:rPr>
        <w:tab/>
        <w:t>33257</w:t>
      </w:r>
      <w:r>
        <w:rPr>
          <w:rFonts w:ascii="Times New Roman CYR" w:hAnsi="Times New Roman CYR" w:cs="Times New Roman CYR"/>
          <w:sz w:val="24"/>
          <w:szCs w:val="24"/>
        </w:rPr>
        <w:tab/>
        <w:t>69350</w:t>
      </w:r>
      <w:r>
        <w:rPr>
          <w:rFonts w:ascii="Times New Roman CYR" w:hAnsi="Times New Roman CYR" w:cs="Times New Roman CYR"/>
          <w:sz w:val="24"/>
          <w:szCs w:val="24"/>
        </w:rPr>
        <w:tab/>
        <w:t>18513</w:t>
      </w:r>
      <w:r>
        <w:rPr>
          <w:rFonts w:ascii="Times New Roman CYR" w:hAnsi="Times New Roman CYR" w:cs="Times New Roman CYR"/>
          <w:sz w:val="24"/>
          <w:szCs w:val="24"/>
        </w:rPr>
        <w:tab/>
        <w:t>543</w:t>
      </w:r>
      <w:r>
        <w:rPr>
          <w:rFonts w:ascii="Times New Roman CYR" w:hAnsi="Times New Roman CYR" w:cs="Times New Roman CYR"/>
          <w:sz w:val="24"/>
          <w:szCs w:val="24"/>
        </w:rPr>
        <w:tab/>
        <w:t>3273</w:t>
      </w:r>
      <w:r>
        <w:rPr>
          <w:rFonts w:ascii="Times New Roman CYR" w:hAnsi="Times New Roman CYR" w:cs="Times New Roman CYR"/>
          <w:sz w:val="24"/>
          <w:szCs w:val="24"/>
        </w:rPr>
        <w:tab/>
        <w:t>124936</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Придбано основних з</w:t>
      </w:r>
      <w:r>
        <w:rPr>
          <w:rFonts w:ascii="Times New Roman CYR" w:hAnsi="Times New Roman CYR" w:cs="Times New Roman CYR"/>
          <w:sz w:val="24"/>
          <w:szCs w:val="24"/>
        </w:rPr>
        <w:t>асобiв та капiтальнi полiпшення</w:t>
      </w:r>
      <w:r>
        <w:rPr>
          <w:rFonts w:ascii="Times New Roman CYR" w:hAnsi="Times New Roman CYR" w:cs="Times New Roman CYR"/>
          <w:sz w:val="24"/>
          <w:szCs w:val="24"/>
        </w:rPr>
        <w:tab/>
      </w:r>
      <w:r>
        <w:rPr>
          <w:rFonts w:ascii="Times New Roman CYR" w:hAnsi="Times New Roman CYR" w:cs="Times New Roman CYR"/>
          <w:sz w:val="24"/>
          <w:szCs w:val="24"/>
        </w:rPr>
        <w:tab/>
        <w:t>2026</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Вибуло</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1060</w:t>
      </w:r>
      <w:r>
        <w:rPr>
          <w:rFonts w:ascii="Times New Roman CYR" w:hAnsi="Times New Roman CYR" w:cs="Times New Roman CYR"/>
          <w:sz w:val="24"/>
          <w:szCs w:val="24"/>
        </w:rPr>
        <w:tab/>
        <w:t>3</w:t>
      </w:r>
      <w:r>
        <w:rPr>
          <w:rFonts w:ascii="Times New Roman CYR" w:hAnsi="Times New Roman CYR" w:cs="Times New Roman CYR"/>
          <w:sz w:val="24"/>
          <w:szCs w:val="24"/>
        </w:rPr>
        <w:tab/>
      </w:r>
      <w:r>
        <w:rPr>
          <w:rFonts w:ascii="Times New Roman CYR" w:hAnsi="Times New Roman CYR" w:cs="Times New Roman CYR"/>
          <w:sz w:val="24"/>
          <w:szCs w:val="24"/>
        </w:rPr>
        <w:tab/>
        <w:t>1062</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станом на кiнець звiтного перiоду</w:t>
      </w:r>
      <w:r>
        <w:rPr>
          <w:rFonts w:ascii="Times New Roman CYR" w:hAnsi="Times New Roman CYR" w:cs="Times New Roman CYR"/>
          <w:sz w:val="24"/>
          <w:szCs w:val="24"/>
        </w:rPr>
        <w:tab/>
        <w:t>33257</w:t>
      </w:r>
      <w:r>
        <w:rPr>
          <w:rFonts w:ascii="Times New Roman CYR" w:hAnsi="Times New Roman CYR" w:cs="Times New Roman CYR"/>
          <w:sz w:val="24"/>
          <w:szCs w:val="24"/>
        </w:rPr>
        <w:tab/>
        <w:t>70268</w:t>
      </w:r>
      <w:r>
        <w:rPr>
          <w:rFonts w:ascii="Times New Roman CYR" w:hAnsi="Times New Roman CYR" w:cs="Times New Roman CYR"/>
          <w:sz w:val="24"/>
          <w:szCs w:val="24"/>
        </w:rPr>
        <w:tab/>
        <w:t>18513</w:t>
      </w:r>
      <w:r>
        <w:rPr>
          <w:rFonts w:ascii="Times New Roman CYR" w:hAnsi="Times New Roman CYR" w:cs="Times New Roman CYR"/>
          <w:sz w:val="24"/>
          <w:szCs w:val="24"/>
        </w:rPr>
        <w:tab/>
        <w:t>540</w:t>
      </w:r>
      <w:r>
        <w:rPr>
          <w:rFonts w:ascii="Times New Roman CYR" w:hAnsi="Times New Roman CYR" w:cs="Times New Roman CYR"/>
          <w:sz w:val="24"/>
          <w:szCs w:val="24"/>
        </w:rPr>
        <w:tab/>
        <w:t>3273</w:t>
      </w:r>
      <w:r>
        <w:rPr>
          <w:rFonts w:ascii="Times New Roman CYR" w:hAnsi="Times New Roman CYR" w:cs="Times New Roman CYR"/>
          <w:sz w:val="24"/>
          <w:szCs w:val="24"/>
        </w:rPr>
        <w:tab/>
        <w:t>124857</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Накопичена амортизацiя станом на початок звiтного року</w:t>
      </w:r>
      <w:r>
        <w:rPr>
          <w:rFonts w:ascii="Times New Roman CYR" w:hAnsi="Times New Roman CYR" w:cs="Times New Roman CYR"/>
          <w:sz w:val="24"/>
          <w:szCs w:val="24"/>
        </w:rPr>
        <w:tab/>
        <w:t>26 550</w:t>
      </w:r>
      <w:r>
        <w:rPr>
          <w:rFonts w:ascii="Times New Roman CYR" w:hAnsi="Times New Roman CYR" w:cs="Times New Roman CYR"/>
          <w:sz w:val="24"/>
          <w:szCs w:val="24"/>
        </w:rPr>
        <w:tab/>
        <w:t>48399</w:t>
      </w:r>
      <w:r>
        <w:rPr>
          <w:rFonts w:ascii="Times New Roman CYR" w:hAnsi="Times New Roman CYR" w:cs="Times New Roman CYR"/>
          <w:sz w:val="24"/>
          <w:szCs w:val="24"/>
        </w:rPr>
        <w:tab/>
        <w:t>15920</w:t>
      </w:r>
      <w:r>
        <w:rPr>
          <w:rFonts w:ascii="Times New Roman CYR" w:hAnsi="Times New Roman CYR" w:cs="Times New Roman CYR"/>
          <w:sz w:val="24"/>
          <w:szCs w:val="24"/>
        </w:rPr>
        <w:tab/>
        <w:t>521</w:t>
      </w:r>
      <w:r>
        <w:rPr>
          <w:rFonts w:ascii="Times New Roman CYR" w:hAnsi="Times New Roman CYR" w:cs="Times New Roman CYR"/>
          <w:sz w:val="24"/>
          <w:szCs w:val="24"/>
        </w:rPr>
        <w:tab/>
        <w:t>482</w:t>
      </w:r>
      <w:r>
        <w:rPr>
          <w:rFonts w:ascii="Times New Roman CYR" w:hAnsi="Times New Roman CYR" w:cs="Times New Roman CYR"/>
          <w:sz w:val="24"/>
          <w:szCs w:val="24"/>
        </w:rPr>
        <w:tab/>
        <w:t>91874</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Амортизацiйнi нара</w:t>
      </w:r>
      <w:r>
        <w:rPr>
          <w:rFonts w:ascii="Times New Roman CYR" w:hAnsi="Times New Roman CYR" w:cs="Times New Roman CYR"/>
          <w:sz w:val="24"/>
          <w:szCs w:val="24"/>
        </w:rPr>
        <w:t>хування за звiтний перiод</w:t>
      </w:r>
      <w:r>
        <w:rPr>
          <w:rFonts w:ascii="Times New Roman CYR" w:hAnsi="Times New Roman CYR" w:cs="Times New Roman CYR"/>
          <w:sz w:val="24"/>
          <w:szCs w:val="24"/>
        </w:rPr>
        <w:tab/>
        <w:t>527</w:t>
      </w:r>
      <w:r>
        <w:rPr>
          <w:rFonts w:ascii="Times New Roman CYR" w:hAnsi="Times New Roman CYR" w:cs="Times New Roman CYR"/>
          <w:sz w:val="24"/>
          <w:szCs w:val="24"/>
        </w:rPr>
        <w:tab/>
        <w:t>910</w:t>
      </w:r>
      <w:r>
        <w:rPr>
          <w:rFonts w:ascii="Times New Roman CYR" w:hAnsi="Times New Roman CYR" w:cs="Times New Roman CYR"/>
          <w:sz w:val="24"/>
          <w:szCs w:val="24"/>
        </w:rPr>
        <w:tab/>
        <w:t>905</w:t>
      </w:r>
      <w:r>
        <w:rPr>
          <w:rFonts w:ascii="Times New Roman CYR" w:hAnsi="Times New Roman CYR" w:cs="Times New Roman CYR"/>
          <w:sz w:val="24"/>
          <w:szCs w:val="24"/>
        </w:rPr>
        <w:tab/>
        <w:t>9</w:t>
      </w:r>
      <w:r>
        <w:rPr>
          <w:rFonts w:ascii="Times New Roman CYR" w:hAnsi="Times New Roman CYR" w:cs="Times New Roman CYR"/>
          <w:sz w:val="24"/>
          <w:szCs w:val="24"/>
        </w:rPr>
        <w:tab/>
        <w:t>166</w:t>
      </w:r>
      <w:r>
        <w:rPr>
          <w:rFonts w:ascii="Times New Roman CYR" w:hAnsi="Times New Roman CYR" w:cs="Times New Roman CYR"/>
          <w:sz w:val="24"/>
          <w:szCs w:val="24"/>
        </w:rPr>
        <w:tab/>
        <w:t>2517</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Вибуло</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w:t>
      </w:r>
      <w:r>
        <w:rPr>
          <w:rFonts w:ascii="Times New Roman CYR" w:hAnsi="Times New Roman CYR" w:cs="Times New Roman CYR"/>
          <w:sz w:val="24"/>
          <w:szCs w:val="24"/>
        </w:rPr>
        <w:tab/>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станом на кiнець звiтного перiоду</w:t>
      </w:r>
      <w:r>
        <w:rPr>
          <w:rFonts w:ascii="Times New Roman CYR" w:hAnsi="Times New Roman CYR" w:cs="Times New Roman CYR"/>
          <w:sz w:val="24"/>
          <w:szCs w:val="24"/>
        </w:rPr>
        <w:tab/>
        <w:t>27077</w:t>
      </w:r>
      <w:r>
        <w:rPr>
          <w:rFonts w:ascii="Times New Roman CYR" w:hAnsi="Times New Roman CYR" w:cs="Times New Roman CYR"/>
          <w:sz w:val="24"/>
          <w:szCs w:val="24"/>
        </w:rPr>
        <w:tab/>
        <w:t>49309</w:t>
      </w:r>
      <w:r>
        <w:rPr>
          <w:rFonts w:ascii="Times New Roman CYR" w:hAnsi="Times New Roman CYR" w:cs="Times New Roman CYR"/>
          <w:sz w:val="24"/>
          <w:szCs w:val="24"/>
        </w:rPr>
        <w:tab/>
        <w:t>16825</w:t>
      </w:r>
      <w:r>
        <w:rPr>
          <w:rFonts w:ascii="Times New Roman CYR" w:hAnsi="Times New Roman CYR" w:cs="Times New Roman CYR"/>
          <w:sz w:val="24"/>
          <w:szCs w:val="24"/>
        </w:rPr>
        <w:tab/>
        <w:t>530</w:t>
      </w:r>
      <w:r>
        <w:rPr>
          <w:rFonts w:ascii="Times New Roman CYR" w:hAnsi="Times New Roman CYR" w:cs="Times New Roman CYR"/>
          <w:sz w:val="24"/>
          <w:szCs w:val="24"/>
        </w:rPr>
        <w:tab/>
        <w:t>649</w:t>
      </w:r>
      <w:r>
        <w:rPr>
          <w:rFonts w:ascii="Times New Roman CYR" w:hAnsi="Times New Roman CYR" w:cs="Times New Roman CYR"/>
          <w:sz w:val="24"/>
          <w:szCs w:val="24"/>
        </w:rPr>
        <w:tab/>
        <w:t>94391</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Балансова вартiсть станом на кiнець звiтного перiоду</w:t>
      </w:r>
      <w:r>
        <w:rPr>
          <w:rFonts w:ascii="Times New Roman CYR" w:hAnsi="Times New Roman CYR" w:cs="Times New Roman CYR"/>
          <w:sz w:val="24"/>
          <w:szCs w:val="24"/>
        </w:rPr>
        <w:tab/>
        <w:t>6180</w:t>
      </w:r>
      <w:r>
        <w:rPr>
          <w:rFonts w:ascii="Times New Roman CYR" w:hAnsi="Times New Roman CYR" w:cs="Times New Roman CYR"/>
          <w:sz w:val="24"/>
          <w:szCs w:val="24"/>
        </w:rPr>
        <w:tab/>
        <w:t>20959</w:t>
      </w:r>
      <w:r>
        <w:rPr>
          <w:rFonts w:ascii="Times New Roman CYR" w:hAnsi="Times New Roman CYR" w:cs="Times New Roman CYR"/>
          <w:sz w:val="24"/>
          <w:szCs w:val="24"/>
        </w:rPr>
        <w:tab/>
        <w:t>1688</w:t>
      </w:r>
      <w:r>
        <w:rPr>
          <w:rFonts w:ascii="Times New Roman CYR" w:hAnsi="Times New Roman CYR" w:cs="Times New Roman CYR"/>
          <w:sz w:val="24"/>
          <w:szCs w:val="24"/>
        </w:rPr>
        <w:tab/>
        <w:t>10</w:t>
      </w:r>
      <w:r>
        <w:rPr>
          <w:rFonts w:ascii="Times New Roman CYR" w:hAnsi="Times New Roman CYR" w:cs="Times New Roman CYR"/>
          <w:sz w:val="24"/>
          <w:szCs w:val="24"/>
        </w:rPr>
        <w:tab/>
        <w:t>2625</w:t>
      </w:r>
      <w:r>
        <w:rPr>
          <w:rFonts w:ascii="Times New Roman CYR" w:hAnsi="Times New Roman CYR" w:cs="Times New Roman CYR"/>
          <w:sz w:val="24"/>
          <w:szCs w:val="24"/>
        </w:rPr>
        <w:tab/>
        <w:t>31462</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 грудня 2023  року д</w:t>
      </w:r>
      <w:r>
        <w:rPr>
          <w:rFonts w:ascii="Times New Roman CYR" w:hAnsi="Times New Roman CYR" w:cs="Times New Roman CYR"/>
          <w:sz w:val="24"/>
          <w:szCs w:val="24"/>
        </w:rPr>
        <w:t>о складу основних засобiв були включенi повнiстю амортизованi активи iз первiсною вартiстю 18086 тисяч гривень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 грудня 2023 року основнi засоби, призначенi до продажу, вiдсутнi.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що належать Пiдприємству на правi власностi вiдо</w:t>
      </w:r>
      <w:r>
        <w:rPr>
          <w:rFonts w:ascii="Times New Roman CYR" w:hAnsi="Times New Roman CYR" w:cs="Times New Roman CYR"/>
          <w:sz w:val="24"/>
          <w:szCs w:val="24"/>
        </w:rPr>
        <w:t xml:space="preserve">браженi у фiнансовiй звiтностi за переоцiненою балансовою вартiстю, що </w:t>
      </w:r>
      <w:r>
        <w:rPr>
          <w:rFonts w:ascii="Times New Roman CYR" w:hAnsi="Times New Roman CYR" w:cs="Times New Roman CYR"/>
          <w:sz w:val="24"/>
          <w:szCs w:val="24"/>
        </w:rPr>
        <w:lastRenderedPageBreak/>
        <w:t xml:space="preserve">визначена вiдповiдно до МСФЗ, переоцiнка вiдображена у Фiнансовiй звiтностi станом на 31.12.2023 р.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Ознаки знецiнення основних засобiв станом на 31.12.2023р. вiдсутнi, тому збитки вiд </w:t>
      </w:r>
      <w:r>
        <w:rPr>
          <w:rFonts w:ascii="Times New Roman CYR" w:hAnsi="Times New Roman CYR" w:cs="Times New Roman CYR"/>
          <w:sz w:val="24"/>
          <w:szCs w:val="24"/>
        </w:rPr>
        <w:t>знецiнення, втрати вiд зменшення корисностi, уцiнки/переоцiнки у звiтному перiодi вiдсутнi.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належать Пiдприємству на правах власностi.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орендує наступнi земельнi дiлянки державної власностi для користування надрами та розмiщення</w:t>
      </w:r>
      <w:r>
        <w:rPr>
          <w:rFonts w:ascii="Times New Roman CYR" w:hAnsi="Times New Roman CYR" w:cs="Times New Roman CYR"/>
          <w:sz w:val="24"/>
          <w:szCs w:val="24"/>
        </w:rPr>
        <w:t xml:space="preserve"> вiдповiдної виробничої бази: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 кiлькостi 12,2232 га на територiї Бiлкiвської сiльської ради Коростенського району Житомирської областi, орендодавець Коростенська районна державна адмiнiстрацiя, договiр оренди земельної дiлянки вiд 01.10.2007, укладений</w:t>
      </w:r>
      <w:r>
        <w:rPr>
          <w:rFonts w:ascii="Times New Roman CYR" w:hAnsi="Times New Roman CYR" w:cs="Times New Roman CYR"/>
          <w:sz w:val="24"/>
          <w:szCs w:val="24"/>
        </w:rPr>
        <w:t xml:space="preserve"> на 30 рокiв;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- 133,9568 га на територiї Бондарiвської сiльської ради Коростенського району Житомирської областi, орендодавець -Коростенська РДА, договiр оренди земельної дiлянки вiд 01.10.2007, укладений строком  на 30 рокiв;</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вiдповiдностi з положенням</w:t>
      </w:r>
      <w:r>
        <w:rPr>
          <w:rFonts w:ascii="Times New Roman CYR" w:hAnsi="Times New Roman CYR" w:cs="Times New Roman CYR"/>
          <w:sz w:val="24"/>
          <w:szCs w:val="24"/>
        </w:rPr>
        <w:t>и власної облiкової полiтики (роздiл 5, пiдроздiл "Оренда") та вимогою параграфу 3 МСФЗ 16 "Оренда", Пiдприємство не застосовує МСФЗ 16 до зазначених договорiв оренди землi, що пов'язанi з використанням надр.</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Власної (викупленої) земельної дiлянки Пiдприєм</w:t>
      </w:r>
      <w:r>
        <w:rPr>
          <w:rFonts w:ascii="Times New Roman CYR" w:hAnsi="Times New Roman CYR" w:cs="Times New Roman CYR"/>
          <w:sz w:val="24"/>
          <w:szCs w:val="24"/>
        </w:rPr>
        <w:t>ство не має.</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здає в операцiйну оренду:</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-ПрАТ "ВФ Україна" частину даху будiвлi площею 20кв.м, для встановлення базової станцiї мобiльного зв'язку, орендна плата складає 4.200 грн./мiсяць;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ПрАТ "Київстар", дiлянку димової труби котельнi зага</w:t>
      </w:r>
      <w:r>
        <w:rPr>
          <w:rFonts w:ascii="Times New Roman CYR" w:hAnsi="Times New Roman CYR" w:cs="Times New Roman CYR"/>
          <w:sz w:val="24"/>
          <w:szCs w:val="24"/>
        </w:rPr>
        <w:t>льною площею 14,4 кв.м для встановлення i експлуатацiї обладнання базової станцiї стiльникового зв'язку, орендна плата - 3 000 грн./мiсяць;</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Вказана оренда об'єктiв класифiкується у вiдповiдностi до МСФЗ 16"Оренда", як операцiйна..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8.3. Iншi необоротнi ак</w:t>
      </w:r>
      <w:r>
        <w:rPr>
          <w:rFonts w:ascii="Times New Roman CYR" w:hAnsi="Times New Roman CYR" w:cs="Times New Roman CYR"/>
          <w:sz w:val="24"/>
          <w:szCs w:val="24"/>
        </w:rPr>
        <w:t>тиви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Об'єкти iнвестицiйної нерухомостi, довгостроковi фiнансовi iнвестицiї, довгостроковi бiологiчнi ак</w:t>
      </w:r>
      <w:r>
        <w:rPr>
          <w:rFonts w:ascii="Times New Roman CYR" w:hAnsi="Times New Roman CYR" w:cs="Times New Roman CYR"/>
          <w:sz w:val="24"/>
          <w:szCs w:val="24"/>
        </w:rPr>
        <w:t>тиви, довгострокова дебiторська заборгованiсть, яка не буде повернута у найближчi 12 мiсяцiв, та iншi необоротнi активи у Пiдприємства станом на 31.12.2020 вiдсутнi.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ОБОРОТНI АКТИВИ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9.1. Запаси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 Товариства були представленi наступним чином:</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w:t>
      </w:r>
      <w:r>
        <w:rPr>
          <w:rFonts w:ascii="Times New Roman CYR" w:hAnsi="Times New Roman CYR" w:cs="Times New Roman CYR"/>
          <w:sz w:val="24"/>
          <w:szCs w:val="24"/>
        </w:rPr>
        <w:tab/>
        <w:t>01.01.2023, тис. грн.</w:t>
      </w:r>
      <w:r>
        <w:rPr>
          <w:rFonts w:ascii="Times New Roman CYR" w:hAnsi="Times New Roman CYR" w:cs="Times New Roman CYR"/>
          <w:sz w:val="24"/>
          <w:szCs w:val="24"/>
        </w:rPr>
        <w:tab/>
        <w:t>31.12.2023, тис. грн.</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Сировина i матерiали</w:t>
      </w:r>
      <w:r>
        <w:rPr>
          <w:rFonts w:ascii="Times New Roman CYR" w:hAnsi="Times New Roman CYR" w:cs="Times New Roman CYR"/>
          <w:sz w:val="24"/>
          <w:szCs w:val="24"/>
        </w:rPr>
        <w:tab/>
        <w:t>170</w:t>
      </w:r>
      <w:r>
        <w:rPr>
          <w:rFonts w:ascii="Times New Roman CYR" w:hAnsi="Times New Roman CYR" w:cs="Times New Roman CYR"/>
          <w:sz w:val="24"/>
          <w:szCs w:val="24"/>
        </w:rPr>
        <w:tab/>
        <w:t>349</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Паливо</w:t>
      </w:r>
      <w:r>
        <w:rPr>
          <w:rFonts w:ascii="Times New Roman CYR" w:hAnsi="Times New Roman CYR" w:cs="Times New Roman CYR"/>
          <w:sz w:val="24"/>
          <w:szCs w:val="24"/>
        </w:rPr>
        <w:tab/>
        <w:t>581</w:t>
      </w:r>
      <w:r>
        <w:rPr>
          <w:rFonts w:ascii="Times New Roman CYR" w:hAnsi="Times New Roman CYR" w:cs="Times New Roman CYR"/>
          <w:sz w:val="24"/>
          <w:szCs w:val="24"/>
        </w:rPr>
        <w:tab/>
        <w:t xml:space="preserve">689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Запаснi частини</w:t>
      </w:r>
      <w:r>
        <w:rPr>
          <w:rFonts w:ascii="Times New Roman CYR" w:hAnsi="Times New Roman CYR" w:cs="Times New Roman CYR"/>
          <w:sz w:val="24"/>
          <w:szCs w:val="24"/>
        </w:rPr>
        <w:tab/>
        <w:t>2463</w:t>
      </w:r>
      <w:r>
        <w:rPr>
          <w:rFonts w:ascii="Times New Roman CYR" w:hAnsi="Times New Roman CYR" w:cs="Times New Roman CYR"/>
          <w:sz w:val="24"/>
          <w:szCs w:val="24"/>
        </w:rPr>
        <w:tab/>
        <w:t xml:space="preserve">2 351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Малоцiннi та швидкозношуванi предмети</w:t>
      </w:r>
      <w:r>
        <w:rPr>
          <w:rFonts w:ascii="Times New Roman CYR" w:hAnsi="Times New Roman CYR" w:cs="Times New Roman CYR"/>
          <w:sz w:val="24"/>
          <w:szCs w:val="24"/>
        </w:rPr>
        <w:tab/>
        <w:t>431</w:t>
      </w:r>
      <w:r>
        <w:rPr>
          <w:rFonts w:ascii="Times New Roman CYR" w:hAnsi="Times New Roman CYR" w:cs="Times New Roman CYR"/>
          <w:sz w:val="24"/>
          <w:szCs w:val="24"/>
        </w:rPr>
        <w:tab/>
        <w:t xml:space="preserve">410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Готова продукцiя</w:t>
      </w:r>
      <w:r>
        <w:rPr>
          <w:rFonts w:ascii="Times New Roman CYR" w:hAnsi="Times New Roman CYR" w:cs="Times New Roman CYR"/>
          <w:sz w:val="24"/>
          <w:szCs w:val="24"/>
        </w:rPr>
        <w:tab/>
        <w:t>4061</w:t>
      </w:r>
      <w:r>
        <w:rPr>
          <w:rFonts w:ascii="Times New Roman CYR" w:hAnsi="Times New Roman CYR" w:cs="Times New Roman CYR"/>
          <w:sz w:val="24"/>
          <w:szCs w:val="24"/>
        </w:rPr>
        <w:tab/>
        <w:t>6425</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Всього</w:t>
      </w:r>
      <w:r>
        <w:rPr>
          <w:rFonts w:ascii="Times New Roman CYR" w:hAnsi="Times New Roman CYR" w:cs="Times New Roman CYR"/>
          <w:sz w:val="24"/>
          <w:szCs w:val="24"/>
        </w:rPr>
        <w:tab/>
        <w:t>7706</w:t>
      </w:r>
      <w:r>
        <w:rPr>
          <w:rFonts w:ascii="Times New Roman CYR" w:hAnsi="Times New Roman CYR" w:cs="Times New Roman CYR"/>
          <w:sz w:val="24"/>
          <w:szCs w:val="24"/>
        </w:rPr>
        <w:tab/>
        <w:t>10224</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 оцiненi за собiвартiстю, що є найменшо</w:t>
      </w:r>
      <w:r>
        <w:rPr>
          <w:rFonts w:ascii="Times New Roman CYR" w:hAnsi="Times New Roman CYR" w:cs="Times New Roman CYR"/>
          <w:sz w:val="24"/>
          <w:szCs w:val="24"/>
        </w:rPr>
        <w:t>ю оцiнкою у порiвняннi дооцiнки за чистою вартiстю реалiзацiї. Метод списання запасiв, що застосовується, - метод середньозваженої собiвартостi.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9.2. Торгова та iнша дебiторська заборгованiсть</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звiтну дату справедлива вартiсть фiнансової дебiторс</w:t>
      </w:r>
      <w:r>
        <w:rPr>
          <w:rFonts w:ascii="Times New Roman CYR" w:hAnsi="Times New Roman CYR" w:cs="Times New Roman CYR"/>
          <w:sz w:val="24"/>
          <w:szCs w:val="24"/>
        </w:rPr>
        <w:t>ької заборгованостi Пiдприємства, у суттєвих сумах, вiдповiдає її балансовiй вартостi.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Дебiторська заборгованiсть станом на початок та на кiнець звiтного 2023 року представлена наступним чином:</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Дебiторська заборгованiсть</w:t>
      </w:r>
      <w:r>
        <w:rPr>
          <w:rFonts w:ascii="Times New Roman CYR" w:hAnsi="Times New Roman CYR" w:cs="Times New Roman CYR"/>
          <w:sz w:val="24"/>
          <w:szCs w:val="24"/>
        </w:rPr>
        <w:tab/>
        <w:t>01.01.2023, тис. грн.</w:t>
      </w:r>
      <w:r>
        <w:rPr>
          <w:rFonts w:ascii="Times New Roman CYR" w:hAnsi="Times New Roman CYR" w:cs="Times New Roman CYR"/>
          <w:sz w:val="24"/>
          <w:szCs w:val="24"/>
        </w:rPr>
        <w:tab/>
        <w:t xml:space="preserve">31.12.2023, </w:t>
      </w:r>
      <w:r>
        <w:rPr>
          <w:rFonts w:ascii="Times New Roman CYR" w:hAnsi="Times New Roman CYR" w:cs="Times New Roman CYR"/>
          <w:sz w:val="24"/>
          <w:szCs w:val="24"/>
        </w:rPr>
        <w:t>тис. грн.</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Дебiторська заборгованiсть за продукцiю, товари, роботи, послуги,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47355</w:t>
      </w:r>
      <w:r>
        <w:rPr>
          <w:rFonts w:ascii="Times New Roman CYR" w:hAnsi="Times New Roman CYR" w:cs="Times New Roman CYR"/>
          <w:sz w:val="24"/>
          <w:szCs w:val="24"/>
        </w:rPr>
        <w:tab/>
        <w:t>24703</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 виданими авансами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17392</w:t>
      </w:r>
      <w:r>
        <w:rPr>
          <w:rFonts w:ascii="Times New Roman CYR" w:hAnsi="Times New Roman CYR" w:cs="Times New Roman CYR"/>
          <w:sz w:val="24"/>
          <w:szCs w:val="24"/>
        </w:rPr>
        <w:tab/>
        <w:t>15163</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 бюджетом, в тому числi: </w:t>
      </w:r>
      <w:r>
        <w:rPr>
          <w:rFonts w:ascii="Times New Roman CYR" w:hAnsi="Times New Roman CYR" w:cs="Times New Roman CYR"/>
          <w:sz w:val="24"/>
          <w:szCs w:val="24"/>
        </w:rPr>
        <w:tab/>
        <w:t>275</w:t>
      </w:r>
      <w:r>
        <w:rPr>
          <w:rFonts w:ascii="Times New Roman CYR" w:hAnsi="Times New Roman CYR" w:cs="Times New Roman CYR"/>
          <w:sz w:val="24"/>
          <w:szCs w:val="24"/>
        </w:rPr>
        <w:tab/>
        <w:t>2744</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дебiторська заборгованiсть</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24</w:t>
      </w:r>
      <w:r>
        <w:rPr>
          <w:rFonts w:ascii="Times New Roman CYR" w:hAnsi="Times New Roman CYR" w:cs="Times New Roman CYR"/>
          <w:sz w:val="24"/>
          <w:szCs w:val="24"/>
        </w:rPr>
        <w:tab/>
        <w:t>24</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Всього</w:t>
      </w:r>
      <w:r>
        <w:rPr>
          <w:rFonts w:ascii="Times New Roman CYR" w:hAnsi="Times New Roman CYR" w:cs="Times New Roman CYR"/>
          <w:sz w:val="24"/>
          <w:szCs w:val="24"/>
        </w:rPr>
        <w:tab/>
        <w:t>65046</w:t>
      </w:r>
      <w:r>
        <w:rPr>
          <w:rFonts w:ascii="Times New Roman CYR" w:hAnsi="Times New Roman CYR" w:cs="Times New Roman CYR"/>
          <w:sz w:val="24"/>
          <w:szCs w:val="24"/>
        </w:rPr>
        <w:tab/>
        <w:t>42634</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Резерви знецiнення (резерв пiд кредитнi збитки) нарахованi шляхом проведення тестування дебiторської заборгованостi задля оцiнки кредитних збиткiв, очiкуваних протягом 12 мiсячного перiоду. Для оцiнки кредитних збиткiв використана матриця за методом класиф</w:t>
      </w:r>
      <w:r>
        <w:rPr>
          <w:rFonts w:ascii="Times New Roman CYR" w:hAnsi="Times New Roman CYR" w:cs="Times New Roman CYR"/>
          <w:sz w:val="24"/>
          <w:szCs w:val="24"/>
        </w:rPr>
        <w:t>iкацiї дебiторської заборгованостi iз застосуванням коефiцiєнта знецiнення за строками непогашення. Пiдприємство не забезпечує дебiторську заборгованiсть заставою.</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9.3. Грошовi кошти та їх еквiваленти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Грошовi кошти та їх еквiваленти Пiдприємства не про</w:t>
      </w:r>
      <w:r>
        <w:rPr>
          <w:rFonts w:ascii="Times New Roman CYR" w:hAnsi="Times New Roman CYR" w:cs="Times New Roman CYR"/>
          <w:sz w:val="24"/>
          <w:szCs w:val="24"/>
        </w:rPr>
        <w:t>строченi та не знецiненi.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Грошовi кошти Пiдприємства станом на 01.01.2023 та на 31.12.20223представленi: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Грошi та їх еквiваленти</w:t>
      </w:r>
      <w:r>
        <w:rPr>
          <w:rFonts w:ascii="Times New Roman CYR" w:hAnsi="Times New Roman CYR" w:cs="Times New Roman CYR"/>
          <w:sz w:val="24"/>
          <w:szCs w:val="24"/>
        </w:rPr>
        <w:tab/>
        <w:t>01.01.2023</w:t>
      </w:r>
      <w:r>
        <w:rPr>
          <w:rFonts w:ascii="Times New Roman CYR" w:hAnsi="Times New Roman CYR" w:cs="Times New Roman CYR"/>
          <w:sz w:val="24"/>
          <w:szCs w:val="24"/>
        </w:rPr>
        <w:tab/>
        <w:t>31.12.2023</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Готiвка в касi</w:t>
      </w:r>
      <w:r>
        <w:rPr>
          <w:rFonts w:ascii="Times New Roman CYR" w:hAnsi="Times New Roman CYR" w:cs="Times New Roman CYR"/>
          <w:sz w:val="24"/>
          <w:szCs w:val="24"/>
        </w:rPr>
        <w:tab/>
        <w:t>3</w:t>
      </w:r>
      <w:r>
        <w:rPr>
          <w:rFonts w:ascii="Times New Roman CYR" w:hAnsi="Times New Roman CYR" w:cs="Times New Roman CYR"/>
          <w:sz w:val="24"/>
          <w:szCs w:val="24"/>
        </w:rPr>
        <w:tab/>
        <w:t>1</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Поточнi рахунки в банках:</w:t>
      </w:r>
      <w:r>
        <w:rPr>
          <w:rFonts w:ascii="Times New Roman CYR" w:hAnsi="Times New Roman CYR" w:cs="Times New Roman CYR"/>
          <w:sz w:val="24"/>
          <w:szCs w:val="24"/>
        </w:rPr>
        <w:tab/>
        <w:t>1070</w:t>
      </w:r>
      <w:r>
        <w:rPr>
          <w:rFonts w:ascii="Times New Roman CYR" w:hAnsi="Times New Roman CYR" w:cs="Times New Roman CYR"/>
          <w:sz w:val="24"/>
          <w:szCs w:val="24"/>
        </w:rPr>
        <w:tab/>
        <w:t>1290</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надходження та витрачання грошови</w:t>
      </w:r>
      <w:r>
        <w:rPr>
          <w:rFonts w:ascii="Times New Roman CYR" w:hAnsi="Times New Roman CYR" w:cs="Times New Roman CYR"/>
          <w:sz w:val="24"/>
          <w:szCs w:val="24"/>
        </w:rPr>
        <w:t>х коштiв вiдображена у Звiтi про рух грошових коштiв.</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9.4. Iншi оборотнi активи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Станом на 31.12.2023 року складають 603 тис. грн., (на початок року - 393 тис. грн.), до яких включено попередньо врахованi суми податкових зобов'язань з ПДВ та тимчасово не </w:t>
      </w:r>
      <w:r>
        <w:rPr>
          <w:rFonts w:ascii="Times New Roman CYR" w:hAnsi="Times New Roman CYR" w:cs="Times New Roman CYR"/>
          <w:sz w:val="24"/>
          <w:szCs w:val="24"/>
        </w:rPr>
        <w:t>врахованi суми податкового кредиту з ПДВ у розрахунках з бюджетом.</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10. ВЛАСНИЙ КАПIТАЛ</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Власний капiтал Пiдприємства складається зi статутного капiталу (акцiонерний капiтал), капiталу у дооцiнках, додаткового капiталу, резервного капiталу, нерозподiленог</w:t>
      </w:r>
      <w:r>
        <w:rPr>
          <w:rFonts w:ascii="Times New Roman CYR" w:hAnsi="Times New Roman CYR" w:cs="Times New Roman CYR"/>
          <w:sz w:val="24"/>
          <w:szCs w:val="24"/>
        </w:rPr>
        <w:t>о прибутку.</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10.1 Акцiонерний (статутний) капiтал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31 грудня 2023 р. зареєстрований  i повнiстю сплачений статутний капiтал становить 3.603.694 грн. та розподiлений на 14 414 776 простих акцiй </w:t>
      </w:r>
      <w:r>
        <w:rPr>
          <w:rFonts w:ascii="Times New Roman CYR" w:hAnsi="Times New Roman CYR" w:cs="Times New Roman CYR"/>
          <w:sz w:val="24"/>
          <w:szCs w:val="24"/>
        </w:rPr>
        <w:lastRenderedPageBreak/>
        <w:t>номiнальною вартiстю 0,25 грн. кожна. Балансова вартiсть стат</w:t>
      </w:r>
      <w:r>
        <w:rPr>
          <w:rFonts w:ascii="Times New Roman CYR" w:hAnsi="Times New Roman CYR" w:cs="Times New Roman CYR"/>
          <w:sz w:val="24"/>
          <w:szCs w:val="24"/>
        </w:rPr>
        <w:t>утного капiталу не вiдрiзняється вiд розмiру статутного капiталу, оцiнюваного за номiнальною вартiстю, i складає 3 604 тис. грн. (свiдоцтво про реєстрацiю випуску акцiй № 02/06/1/10 вiд 30.04.2010 видане НК ЦПФР), код цiнних паперiв (ISIN) UA4000070395.</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w:t>
      </w:r>
      <w:r>
        <w:rPr>
          <w:rFonts w:ascii="Times New Roman CYR" w:hAnsi="Times New Roman CYR" w:cs="Times New Roman CYR"/>
          <w:sz w:val="24"/>
          <w:szCs w:val="24"/>
        </w:rPr>
        <w:t xml:space="preserve"> початку акцiонування Засновником товариства була Держава в особi Регiонального вiддiлення Фонду Державного майна України по Житомирськiй областi. Приватне акцiонерне товариство "Ушицький комбiнат будiвельних матерiалiв" засновано вiдповiдно до Наказу регi</w:t>
      </w:r>
      <w:r>
        <w:rPr>
          <w:rFonts w:ascii="Times New Roman CYR" w:hAnsi="Times New Roman CYR" w:cs="Times New Roman CYR"/>
          <w:sz w:val="24"/>
          <w:szCs w:val="24"/>
        </w:rPr>
        <w:t>онального вiддiлення Фонду державного майна України по Житомирськiй областi №59-ВАТ вiд "25" червня 1999 року шляхом перетворення державного пiдприємства "Ушицький комбiнат будiвельних матерiалiв" у вiдкрите акцiонерне товариство згiдно з Законом України "</w:t>
      </w:r>
      <w:r>
        <w:rPr>
          <w:rFonts w:ascii="Times New Roman CYR" w:hAnsi="Times New Roman CYR" w:cs="Times New Roman CYR"/>
          <w:sz w:val="24"/>
          <w:szCs w:val="24"/>
        </w:rPr>
        <w:t>Про приватизацiю державного майна" вiд 19.02.1997р. №89/97-ВР, наказiв Фонду державного майна України вiд 26.01.1999р. №3140 "Про затвердження Перелiку об'єктiв груп Б, В, Г та А, якi пiдлягають приватизацiї шляхом продажу акцiй акцiонерних товариств в 199</w:t>
      </w:r>
      <w:r>
        <w:rPr>
          <w:rFonts w:ascii="Times New Roman CYR" w:hAnsi="Times New Roman CYR" w:cs="Times New Roman CYR"/>
          <w:sz w:val="24"/>
          <w:szCs w:val="24"/>
        </w:rPr>
        <w:t>9 роцi" та вiд 02.03.1999 №382 "Про органiзацiю робiт з пiдготовки об'єктiв груп А (акцiонування), Б, В, Г до продажу в 1999 роцi". Статутний капiталТовариства формувався в процесi приватизацiї державного пiдприємства як вартiсть цiлiсного майнового компле</w:t>
      </w:r>
      <w:r>
        <w:rPr>
          <w:rFonts w:ascii="Times New Roman CYR" w:hAnsi="Times New Roman CYR" w:cs="Times New Roman CYR"/>
          <w:sz w:val="24"/>
          <w:szCs w:val="24"/>
        </w:rPr>
        <w:t>ксу на пiдставi акту оцiнки.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Перелiк осiб, якi прямо або опосередковано є власниками значного пакета акцiй емiтента станом на 31.12.2023 року:</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з/п</w:t>
      </w:r>
      <w:r>
        <w:rPr>
          <w:rFonts w:ascii="Times New Roman CYR" w:hAnsi="Times New Roman CYR" w:cs="Times New Roman CYR"/>
          <w:sz w:val="24"/>
          <w:szCs w:val="24"/>
        </w:rPr>
        <w:tab/>
        <w:t>Повне найменування юридичної особи - власника (власникiв) або прiзвище, iм'я, по батьковi (за наявностi) фi</w:t>
      </w:r>
      <w:r>
        <w:rPr>
          <w:rFonts w:ascii="Times New Roman CYR" w:hAnsi="Times New Roman CYR" w:cs="Times New Roman CYR"/>
          <w:sz w:val="24"/>
          <w:szCs w:val="24"/>
        </w:rPr>
        <w:t>зичної особи - власника (власникiв) значного пакета акцiй</w:t>
      </w:r>
      <w:r>
        <w:rPr>
          <w:rFonts w:ascii="Times New Roman CYR" w:hAnsi="Times New Roman CYR" w:cs="Times New Roman CYR"/>
          <w:sz w:val="24"/>
          <w:szCs w:val="24"/>
        </w:rPr>
        <w:tab/>
        <w:t>Iдентифiкацiйний код згiдно з Єдиним державним реєстром юридичних осiб, фiзичних осiб - пiдприємцiв та громадських формувань (для юридичної особи - резидента), код/номер з торговельного, банкiвськог</w:t>
      </w:r>
      <w:r>
        <w:rPr>
          <w:rFonts w:ascii="Times New Roman CYR" w:hAnsi="Times New Roman CYR" w:cs="Times New Roman CYR"/>
          <w:sz w:val="24"/>
          <w:szCs w:val="24"/>
        </w:rPr>
        <w:t>о чи судового реєстру, реєстрацiйного посвiдчення мiсцевого органу влади iноземної держави про реєстрацiю юридичної особи (для юридичної особи - нерезидента)</w:t>
      </w:r>
      <w:r>
        <w:rPr>
          <w:rFonts w:ascii="Times New Roman CYR" w:hAnsi="Times New Roman CYR" w:cs="Times New Roman CYR"/>
          <w:sz w:val="24"/>
          <w:szCs w:val="24"/>
        </w:rPr>
        <w:tab/>
        <w:t>Розмiр частки акцiонера (власника) (у вiдсотках до статутного капiталу)</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ГЛЕДВIН IНДАСТРIАЛ ЛIМIТЕД (GLADWYN INDUSTRIAL LTD)</w:t>
      </w:r>
      <w:r>
        <w:rPr>
          <w:rFonts w:ascii="Times New Roman CYR" w:hAnsi="Times New Roman CYR" w:cs="Times New Roman CYR"/>
          <w:sz w:val="24"/>
          <w:szCs w:val="24"/>
        </w:rPr>
        <w:tab/>
        <w:t>214173</w:t>
      </w:r>
      <w:r>
        <w:rPr>
          <w:rFonts w:ascii="Times New Roman CYR" w:hAnsi="Times New Roman CYR" w:cs="Times New Roman CYR"/>
          <w:sz w:val="24"/>
          <w:szCs w:val="24"/>
        </w:rPr>
        <w:tab/>
        <w:t>51,022</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РЕМ ЮНIВЕРСАЛ ЛIМIТЕД (RAM UNIVERSAL LIMITED)</w:t>
      </w:r>
      <w:r>
        <w:rPr>
          <w:rFonts w:ascii="Times New Roman CYR" w:hAnsi="Times New Roman CYR" w:cs="Times New Roman CYR"/>
          <w:sz w:val="24"/>
          <w:szCs w:val="24"/>
        </w:rPr>
        <w:tab/>
        <w:t>213948</w:t>
      </w:r>
      <w:r>
        <w:rPr>
          <w:rFonts w:ascii="Times New Roman CYR" w:hAnsi="Times New Roman CYR" w:cs="Times New Roman CYR"/>
          <w:sz w:val="24"/>
          <w:szCs w:val="24"/>
        </w:rPr>
        <w:tab/>
        <w:t>48,978</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Випуск акцiй обслуговує депозитарiй ПАТ "Нацiональний депозитарiй України" (код за ЄДРПОУ 30370711, мiсцезнаходження: 04107 м</w:t>
      </w:r>
      <w:r>
        <w:rPr>
          <w:rFonts w:ascii="Times New Roman CYR" w:hAnsi="Times New Roman CYR" w:cs="Times New Roman CYR"/>
          <w:sz w:val="24"/>
          <w:szCs w:val="24"/>
        </w:rPr>
        <w:t>. Київ, вул. Тропiнiна, буд. 7-г).</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10.2. Капiтал у дооцiнках</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Залишок Капiталу у дооцiнках як  на початок перiоду 01.01.2023 так i на звiтну дату 31.12.2023р. складає 9 545тис.грн. У звiтному 2023 роцi змiни  не вiдбувались.</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10.3. Iнший додатковий капiтал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Створений за рiшенням акцiонерiв Фонд вiдтворення необоротних активiв - 8.443 тис. грн. (створений у попереднiх звiтних перiодах). Протягом 2023 року змiн не вiдбувалось.</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10.4. Резервний капiтал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31.12.2023 складає 656 тис. грн.</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Нараховувався вiдповiдн</w:t>
      </w:r>
      <w:r>
        <w:rPr>
          <w:rFonts w:ascii="Times New Roman CYR" w:hAnsi="Times New Roman CYR" w:cs="Times New Roman CYR"/>
          <w:sz w:val="24"/>
          <w:szCs w:val="24"/>
        </w:rPr>
        <w:t>о до Статуту Пiдприємства та рiшень Загальних зборiв акцiонерiв у попереднiх перiодах. Використання коштiв резервного фонду не вiдбувалось. У 2017-2023 роцi вiдрахування до резервного капiталу не здiйснювались.</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10.5. Нерозподiлений прибуток</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31.12.2023 р</w:t>
      </w:r>
      <w:r>
        <w:rPr>
          <w:rFonts w:ascii="Times New Roman CYR" w:hAnsi="Times New Roman CYR" w:cs="Times New Roman CYR"/>
          <w:sz w:val="24"/>
          <w:szCs w:val="24"/>
        </w:rPr>
        <w:t>оку складає 5747 тис. грн., який сформований:</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Дивiденди у 2018-2023роках не нараховувались та не виплачувались.</w:t>
      </w:r>
      <w:r>
        <w:rPr>
          <w:rFonts w:ascii="Times New Roman CYR" w:hAnsi="Times New Roman CYR" w:cs="Times New Roman CYR"/>
          <w:sz w:val="24"/>
          <w:szCs w:val="24"/>
        </w:rPr>
        <w:tab/>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w:t>
      </w:r>
      <w:r>
        <w:rPr>
          <w:rFonts w:ascii="Times New Roman CYR" w:hAnsi="Times New Roman CYR" w:cs="Times New Roman CYR"/>
          <w:sz w:val="24"/>
          <w:szCs w:val="24"/>
        </w:rPr>
        <w:tab/>
        <w:t>ЗОБОВ'ЯЗАННЯ ТА ЗАБЕЗПЕЧЕННЯ</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хеджує свої зобов'язання в iноземнiй валютi та ризики змiни вiдсоткової ставки. Станом на звi</w:t>
      </w:r>
      <w:r>
        <w:rPr>
          <w:rFonts w:ascii="Times New Roman CYR" w:hAnsi="Times New Roman CYR" w:cs="Times New Roman CYR"/>
          <w:sz w:val="24"/>
          <w:szCs w:val="24"/>
        </w:rPr>
        <w:t>тну дату справедлива вартiсть зобов'язань у суттєвих аспектах вiдповiдає їх балансовiй вартостi.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11.1. Забезпечення</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Станом на 31.12.2021р. Пiдприємством визнано наступнi забезпечення: резерв на горно технiчну рекультивацiю земель та кар'єру (довгострокове </w:t>
      </w:r>
      <w:r>
        <w:rPr>
          <w:rFonts w:ascii="Times New Roman CYR" w:hAnsi="Times New Roman CYR" w:cs="Times New Roman CYR"/>
          <w:sz w:val="24"/>
          <w:szCs w:val="24"/>
        </w:rPr>
        <w:t xml:space="preserve">забезпечення), резерв на виплату вiдпусток працiвникам (короткострокове забезпечення).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01.01.2020 та на 31.12.2020 визнанi забезпечення представленi наступним чином:</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Забезпечення</w:t>
      </w:r>
      <w:r>
        <w:rPr>
          <w:rFonts w:ascii="Times New Roman CYR" w:hAnsi="Times New Roman CYR" w:cs="Times New Roman CYR"/>
          <w:sz w:val="24"/>
          <w:szCs w:val="24"/>
        </w:rPr>
        <w:tab/>
        <w:t>01.01.2023 тис. грн.</w:t>
      </w:r>
      <w:r>
        <w:rPr>
          <w:rFonts w:ascii="Times New Roman CYR" w:hAnsi="Times New Roman CYR" w:cs="Times New Roman CYR"/>
          <w:sz w:val="24"/>
          <w:szCs w:val="24"/>
        </w:rPr>
        <w:tab/>
        <w:t>31.12.2023  тис. грн.</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Довгостроковi забезпече</w:t>
      </w:r>
      <w:r>
        <w:rPr>
          <w:rFonts w:ascii="Times New Roman CYR" w:hAnsi="Times New Roman CYR" w:cs="Times New Roman CYR"/>
          <w:sz w:val="24"/>
          <w:szCs w:val="24"/>
        </w:rPr>
        <w:t>ння - резерв на рекультивацiю земель та кар'єру</w:t>
      </w:r>
      <w:r>
        <w:rPr>
          <w:rFonts w:ascii="Times New Roman CYR" w:hAnsi="Times New Roman CYR" w:cs="Times New Roman CYR"/>
          <w:sz w:val="24"/>
          <w:szCs w:val="24"/>
        </w:rPr>
        <w:tab/>
        <w:t>4648</w:t>
      </w:r>
      <w:r>
        <w:rPr>
          <w:rFonts w:ascii="Times New Roman CYR" w:hAnsi="Times New Roman CYR" w:cs="Times New Roman CYR"/>
          <w:sz w:val="24"/>
          <w:szCs w:val="24"/>
        </w:rPr>
        <w:tab/>
        <w:t>4648</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Забезпечення визнанi, так як в результатi певних подiй в минулому Пiдприємство має юридичнi зобов'язання, для врегулювання яких з великим ступенем iмовiрностi буде потрiбний вiдтiк ресурсiв, якi вт</w:t>
      </w:r>
      <w:r>
        <w:rPr>
          <w:rFonts w:ascii="Times New Roman CYR" w:hAnsi="Times New Roman CYR" w:cs="Times New Roman CYR"/>
          <w:sz w:val="24"/>
          <w:szCs w:val="24"/>
        </w:rPr>
        <w:t>iлюють у собi майбутнi економiчнi вигоди, i суму зобов'язання можна достовiрно оцiнити. Забезпечення оцiнюються за поточною вартiстю, виходячи з найкращої оцiнки керiвництвом витрат, необхiдних для врегулювання поточних зобов'язань на кiнець звiтного перiо</w:t>
      </w:r>
      <w:r>
        <w:rPr>
          <w:rFonts w:ascii="Times New Roman CYR" w:hAnsi="Times New Roman CYR" w:cs="Times New Roman CYR"/>
          <w:sz w:val="24"/>
          <w:szCs w:val="24"/>
        </w:rPr>
        <w:t xml:space="preserve">ду.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Зобов'язання Пiдприємства щодо оплати вiдпусток працiвникам, якi не були використанi в поточному перiодi, визнаються пiд час надання працiвниками послуг, якi збiльшують їхнi права на майбутнi компенсацiї за вiдпустки. Сума резерву на 31.12.2022 склада</w:t>
      </w:r>
      <w:r>
        <w:rPr>
          <w:rFonts w:ascii="Times New Roman CYR" w:hAnsi="Times New Roman CYR" w:cs="Times New Roman CYR"/>
          <w:sz w:val="24"/>
          <w:szCs w:val="24"/>
        </w:rPr>
        <w:t>є 2788 тис. грн. Резерв нараховується щомiсячно iз застосуванням коефiцiєнту до фонду заробiтної плати працiвникiв, в кiнцi року сума резерву коригується на пiдставi даних iнвентаризацiї.</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метою рiвномiрного розподiлу витрат на рекультивацiю земель, викор</w:t>
      </w:r>
      <w:r>
        <w:rPr>
          <w:rFonts w:ascii="Times New Roman CYR" w:hAnsi="Times New Roman CYR" w:cs="Times New Roman CYR"/>
          <w:sz w:val="24"/>
          <w:szCs w:val="24"/>
        </w:rPr>
        <w:t>истаних для видобутку гранiту Товариством створено резерв для забезпечення вiдновлення земельних дiлянок (резерв на горно технiчну рекультивацiю кар'єру). Суму забезпечення вiдновлення порушених земель пiсля промислової розробки кар'єру з добування будiвел</w:t>
      </w:r>
      <w:r>
        <w:rPr>
          <w:rFonts w:ascii="Times New Roman CYR" w:hAnsi="Times New Roman CYR" w:cs="Times New Roman CYR"/>
          <w:sz w:val="24"/>
          <w:szCs w:val="24"/>
        </w:rPr>
        <w:t xml:space="preserve">ьного каменю на родовищi кристалiчних порiд "Боброва гора" нараховано виходячи iз оцiночної продисконтованої вартостi витрат на рекультивацiю, фактичних обсягiв добутку гранiту за звiтний перiод та балансових запасiв корисних копалин, затверджених ДКЗ.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11.2. Короткостроковi зобов'язання</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Поточнi зобов'язання Товариства станом на 01.01.2023 та 31.12.23представленiнаступним чином:</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Поточнi зобов'язання</w:t>
      </w:r>
      <w:r>
        <w:rPr>
          <w:rFonts w:ascii="Times New Roman CYR" w:hAnsi="Times New Roman CYR" w:cs="Times New Roman CYR"/>
          <w:sz w:val="24"/>
          <w:szCs w:val="24"/>
        </w:rPr>
        <w:tab/>
        <w:t>01.01.2023, тис. грн.</w:t>
      </w:r>
      <w:r>
        <w:rPr>
          <w:rFonts w:ascii="Times New Roman CYR" w:hAnsi="Times New Roman CYR" w:cs="Times New Roman CYR"/>
          <w:sz w:val="24"/>
          <w:szCs w:val="24"/>
        </w:rPr>
        <w:tab/>
        <w:t>31.12.2023, тис. грн.</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товари, роботи, послуги</w:t>
      </w:r>
      <w:r>
        <w:rPr>
          <w:rFonts w:ascii="Times New Roman CYR" w:hAnsi="Times New Roman CYR" w:cs="Times New Roman CYR"/>
          <w:sz w:val="24"/>
          <w:szCs w:val="24"/>
        </w:rPr>
        <w:tab/>
        <w:t>33501</w:t>
      </w:r>
      <w:r>
        <w:rPr>
          <w:rFonts w:ascii="Times New Roman CYR" w:hAnsi="Times New Roman CYR" w:cs="Times New Roman CYR"/>
          <w:sz w:val="24"/>
          <w:szCs w:val="24"/>
        </w:rPr>
        <w:tab/>
        <w:t>35072</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розрахунками з бюджет</w:t>
      </w:r>
      <w:r>
        <w:rPr>
          <w:rFonts w:ascii="Times New Roman CYR" w:hAnsi="Times New Roman CYR" w:cs="Times New Roman CYR"/>
          <w:sz w:val="24"/>
          <w:szCs w:val="24"/>
        </w:rPr>
        <w:t>ом, в тому числi:</w:t>
      </w:r>
      <w:r>
        <w:rPr>
          <w:rFonts w:ascii="Times New Roman CYR" w:hAnsi="Times New Roman CYR" w:cs="Times New Roman CYR"/>
          <w:sz w:val="24"/>
          <w:szCs w:val="24"/>
        </w:rPr>
        <w:tab/>
        <w:t>8038</w:t>
      </w:r>
      <w:r>
        <w:rPr>
          <w:rFonts w:ascii="Times New Roman CYR" w:hAnsi="Times New Roman CYR" w:cs="Times New Roman CYR"/>
          <w:sz w:val="24"/>
          <w:szCs w:val="24"/>
        </w:rPr>
        <w:tab/>
        <w:t>189</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Податок на прибуток</w:t>
      </w:r>
      <w:r>
        <w:rPr>
          <w:rFonts w:ascii="Times New Roman CYR" w:hAnsi="Times New Roman CYR" w:cs="Times New Roman CYR"/>
          <w:sz w:val="24"/>
          <w:szCs w:val="24"/>
        </w:rPr>
        <w:tab/>
        <w:t>2649</w:t>
      </w:r>
      <w:r>
        <w:rPr>
          <w:rFonts w:ascii="Times New Roman CYR" w:hAnsi="Times New Roman CYR" w:cs="Times New Roman CYR"/>
          <w:sz w:val="24"/>
          <w:szCs w:val="24"/>
        </w:rPr>
        <w:tab/>
        <w:t>-</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розрахунками зi страхування</w:t>
      </w:r>
      <w:r>
        <w:rPr>
          <w:rFonts w:ascii="Times New Roman CYR" w:hAnsi="Times New Roman CYR" w:cs="Times New Roman CYR"/>
          <w:sz w:val="24"/>
          <w:szCs w:val="24"/>
        </w:rPr>
        <w:tab/>
        <w:t>510</w:t>
      </w:r>
      <w:r>
        <w:rPr>
          <w:rFonts w:ascii="Times New Roman CYR" w:hAnsi="Times New Roman CYR" w:cs="Times New Roman CYR"/>
          <w:sz w:val="24"/>
          <w:szCs w:val="24"/>
        </w:rPr>
        <w:tab/>
        <w:t>-</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розрахунками з оплати працi</w:t>
      </w:r>
      <w:r>
        <w:rPr>
          <w:rFonts w:ascii="Times New Roman CYR" w:hAnsi="Times New Roman CYR" w:cs="Times New Roman CYR"/>
          <w:sz w:val="24"/>
          <w:szCs w:val="24"/>
        </w:rPr>
        <w:tab/>
        <w:t>2574</w:t>
      </w:r>
      <w:r>
        <w:rPr>
          <w:rFonts w:ascii="Times New Roman CYR" w:hAnsi="Times New Roman CYR" w:cs="Times New Roman CYR"/>
          <w:sz w:val="24"/>
          <w:szCs w:val="24"/>
        </w:rPr>
        <w:tab/>
        <w:t>2874</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одержаними авансами</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поточнi зобов'язання</w:t>
      </w:r>
      <w:r>
        <w:rPr>
          <w:rFonts w:ascii="Times New Roman CYR" w:hAnsi="Times New Roman CYR" w:cs="Times New Roman CYR"/>
          <w:sz w:val="24"/>
          <w:szCs w:val="24"/>
        </w:rPr>
        <w:tab/>
        <w:t>26626</w:t>
      </w:r>
      <w:r>
        <w:rPr>
          <w:rFonts w:ascii="Times New Roman CYR" w:hAnsi="Times New Roman CYR" w:cs="Times New Roman CYR"/>
          <w:sz w:val="24"/>
          <w:szCs w:val="24"/>
        </w:rPr>
        <w:tab/>
        <w:t>28859</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Разом</w:t>
      </w:r>
      <w:r>
        <w:rPr>
          <w:rFonts w:ascii="Times New Roman CYR" w:hAnsi="Times New Roman CYR" w:cs="Times New Roman CYR"/>
          <w:sz w:val="24"/>
          <w:szCs w:val="24"/>
        </w:rPr>
        <w:tab/>
        <w:t>73898</w:t>
      </w:r>
      <w:r>
        <w:rPr>
          <w:rFonts w:ascii="Times New Roman CYR" w:hAnsi="Times New Roman CYR" w:cs="Times New Roman CYR"/>
          <w:sz w:val="24"/>
          <w:szCs w:val="24"/>
        </w:rPr>
        <w:tab/>
        <w:t>66994</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Заробiтна плата нараховується вiдповiдн</w:t>
      </w:r>
      <w:r>
        <w:rPr>
          <w:rFonts w:ascii="Times New Roman CYR" w:hAnsi="Times New Roman CYR" w:cs="Times New Roman CYR"/>
          <w:sz w:val="24"/>
          <w:szCs w:val="24"/>
        </w:rPr>
        <w:t>о до чинного законодавства України  та на пiдставi належним чином оформлених внутрiшнiх документiв Пiдприємства.</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Колективний договiр дiє в редакцiї, схвалений загальними зборами трудового колективу 27.11.2018р., повiдомна реєстрацiя за № 72 вiд 27.12.2018 </w:t>
      </w:r>
      <w:r>
        <w:rPr>
          <w:rFonts w:ascii="Times New Roman CYR" w:hAnsi="Times New Roman CYR" w:cs="Times New Roman CYR"/>
          <w:sz w:val="24"/>
          <w:szCs w:val="24"/>
        </w:rPr>
        <w:t>проведена Управлiнням працi та соцiального захисту населення Коростенської райдержадмiнiстрацiї) та додатки до нього:</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Положення про оплату працi та колективний приробiток - Додаток № 1;</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Положення про виплату премiї  - Додаток № 2;</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t>Доплати та надбавки</w:t>
      </w:r>
      <w:r>
        <w:rPr>
          <w:rFonts w:ascii="Times New Roman CYR" w:hAnsi="Times New Roman CYR" w:cs="Times New Roman CYR"/>
          <w:sz w:val="24"/>
          <w:szCs w:val="24"/>
        </w:rPr>
        <w:t xml:space="preserve"> за роботу у святковi та вихiднi днi, за роботу у нiчний час, оплата простою, за виконання обов'язкiв вiдсутнього працiвника - Додаток № 3;</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Оплата вiдпустки   - Додаток № 4.</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Затверджених штатних розкладiв, табелiв облiку робочого часу, наказiв керiвника </w:t>
      </w:r>
      <w:r>
        <w:rPr>
          <w:rFonts w:ascii="Times New Roman CYR" w:hAnsi="Times New Roman CYR" w:cs="Times New Roman CYR"/>
          <w:sz w:val="24"/>
          <w:szCs w:val="24"/>
        </w:rPr>
        <w:t>пiдприємства.</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покупцiв продукцiї. Iншi активи, зобов'язання, доходи i витрати, а також податок на прибуток контролюються Товариством в цiлому.</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12. УМОВНI ТА КОНТРАКТНI ЗОБОВ'ЯЗАННЯ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12.1. Питання, пов'язанi з охороною довкiлля.</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Система заходiв iз дотрим</w:t>
      </w:r>
      <w:r>
        <w:rPr>
          <w:rFonts w:ascii="Times New Roman CYR" w:hAnsi="Times New Roman CYR" w:cs="Times New Roman CYR"/>
          <w:sz w:val="24"/>
          <w:szCs w:val="24"/>
        </w:rPr>
        <w:t>ання природоохоронного законодавства в Українi знаходиться на етапi розвитку, i позицiя органiв влади щодо його виконання постiйно переглядається. У випадку виникнення зобов'язань, вони визнаються у фiнансовiй звiтностi у тому перiодi, в якому вони виникли</w:t>
      </w:r>
      <w:r>
        <w:rPr>
          <w:rFonts w:ascii="Times New Roman CYR" w:hAnsi="Times New Roman CYR" w:cs="Times New Roman CYR"/>
          <w:sz w:val="24"/>
          <w:szCs w:val="24"/>
        </w:rPr>
        <w:t>. Потенцiйнi зобов'язання, якi можуть виникнути внаслiдок змiни чинних норм та законодавства, а також судових процесiв, не пiддаються оцiнцi, проте можуть мати суттєвий вплив. За поточних правил, якi забезпечують дотримання вимог чинного законодавства, кер</w:t>
      </w:r>
      <w:r>
        <w:rPr>
          <w:rFonts w:ascii="Times New Roman CYR" w:hAnsi="Times New Roman CYR" w:cs="Times New Roman CYR"/>
          <w:sz w:val="24"/>
          <w:szCs w:val="24"/>
        </w:rPr>
        <w:t>iвництво вважає, що суттєвих зобов'язань внаслiдок забруднення навколишнього середовища не iснує.</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12.2. Операцiйне середовище</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останн</w:t>
      </w:r>
      <w:r>
        <w:rPr>
          <w:rFonts w:ascii="Times New Roman CYR" w:hAnsi="Times New Roman CYR" w:cs="Times New Roman CYR"/>
          <w:sz w:val="24"/>
          <w:szCs w:val="24"/>
        </w:rPr>
        <w:t>iх мiсяцiв економiки багатьох країн вiдчули нестабiльнiсть на ринках. Значний спад попиту на продукцiю вплинув на зупинку виробництва деяких пiдприємств. Внаслiдок ситуацiї, яка склалася в Українi та за кордоном, незважаючи на можливе вживання стабiлiзацiй</w:t>
      </w:r>
      <w:r>
        <w:rPr>
          <w:rFonts w:ascii="Times New Roman CYR" w:hAnsi="Times New Roman CYR" w:cs="Times New Roman CYR"/>
          <w:sz w:val="24"/>
          <w:szCs w:val="24"/>
        </w:rPr>
        <w:t>них заходiв українським Урядом, на дату затвердження даної фiнансової звiтностi мають мiсце фактори економiчної нестабiльностi. Стан економiчної нестабiльностi може тривати i надалi, i як наслiдок, iснує ймовiрнiсть тою, що активи Пiдприємства не зможуть б</w:t>
      </w:r>
      <w:r>
        <w:rPr>
          <w:rFonts w:ascii="Times New Roman CYR" w:hAnsi="Times New Roman CYR" w:cs="Times New Roman CYR"/>
          <w:sz w:val="24"/>
          <w:szCs w:val="24"/>
        </w:rPr>
        <w:t xml:space="preserve">ути реалiзованi за їхньою балансовою вартiстю в ходi звичайної дiяльностi, що вплине на результати його дiяльностi.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здiйснює свою основну дiяльнiсть на територiї України. Закони та нормативнi акти, якi впливають на операцiйне середовище в Укр</w:t>
      </w:r>
      <w:r>
        <w:rPr>
          <w:rFonts w:ascii="Times New Roman CYR" w:hAnsi="Times New Roman CYR" w:cs="Times New Roman CYR"/>
          <w:sz w:val="24"/>
          <w:szCs w:val="24"/>
        </w:rPr>
        <w:t>аїнi, можуть швидко змiнюватися. Подальший економiчний розвиток залежить вiд спектру ефективних заходiв, якi вживаються українським Урядом, а також iнших подiй, якi перебувають поза зоною впливу Пiдприємства. Майбутнє спрямування економiчної полiтики з бок</w:t>
      </w:r>
      <w:r>
        <w:rPr>
          <w:rFonts w:ascii="Times New Roman CYR" w:hAnsi="Times New Roman CYR" w:cs="Times New Roman CYR"/>
          <w:sz w:val="24"/>
          <w:szCs w:val="24"/>
        </w:rPr>
        <w:t xml:space="preserve">у українського Уряду може мати вилив на реалiзацiю активiв Пiдприємства, а також на здатнiсть Пiдприємства сплачувати заборгованостi згiдно зi строками погашення.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Пiдприємства провело найкращу оцiнку щодо можливостi повернення та класифiкацiї </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12.3. Юридичнi зобов'язання</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ходi звичайної дiяльностi пiдприємство має справу iз судовими позовами та претензiями.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вважає, що максимальна вiдповiдальнiсть по зобов'язаннях, якщо вони виникнуть як наслiдок таких позовiв або претензiй, не бу</w:t>
      </w:r>
      <w:r>
        <w:rPr>
          <w:rFonts w:ascii="Times New Roman CYR" w:hAnsi="Times New Roman CYR" w:cs="Times New Roman CYR"/>
          <w:sz w:val="24"/>
          <w:szCs w:val="24"/>
        </w:rPr>
        <w:t>де мати суттєвого негативного впливу на фiнансовий стан або результати майбутнiх операцiй пiдприємства.</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12.4. Страхування</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пiдприємства на страхування незначнi i включають у себе в основному тiльки обов'язковi види страхування, передбаченi законодав</w:t>
      </w:r>
      <w:r>
        <w:rPr>
          <w:rFonts w:ascii="Times New Roman CYR" w:hAnsi="Times New Roman CYR" w:cs="Times New Roman CYR"/>
          <w:sz w:val="24"/>
          <w:szCs w:val="24"/>
        </w:rPr>
        <w:t>ством України. На даний час страхування загальної вiдповiдальностi в Українi не поширене.</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УПРАВЛIННЯ РИЗИКАМИ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Пiдприємство має рiзнi iншi фiнансовi iнструменти, як, наприклад, торгова кредиторська i дебiторська заборгованiсть, якi виникають безпосер</w:t>
      </w:r>
      <w:r>
        <w:rPr>
          <w:rFonts w:ascii="Times New Roman CYR" w:hAnsi="Times New Roman CYR" w:cs="Times New Roman CYR"/>
          <w:sz w:val="24"/>
          <w:szCs w:val="24"/>
        </w:rPr>
        <w:t xml:space="preserve">едньо </w:t>
      </w:r>
      <w:r>
        <w:rPr>
          <w:rFonts w:ascii="Times New Roman CYR" w:hAnsi="Times New Roman CYR" w:cs="Times New Roman CYR"/>
          <w:sz w:val="24"/>
          <w:szCs w:val="24"/>
        </w:rPr>
        <w:lastRenderedPageBreak/>
        <w:t>в ходi її операцiйної дiяльностi.Полiтика Пiдприємства не передбачає торгiвлi фiнансовими iнструментами. Товариству властивi кредитний ризик, а також ризик лiквiдностi i ринковий ризик. Загальна програма управлiння ризиками сконцентрована на непередб</w:t>
      </w:r>
      <w:r>
        <w:rPr>
          <w:rFonts w:ascii="Times New Roman CYR" w:hAnsi="Times New Roman CYR" w:cs="Times New Roman CYR"/>
          <w:sz w:val="24"/>
          <w:szCs w:val="24"/>
        </w:rPr>
        <w:t>ачуваностi та неефективностi фiнансового ринку України, i спрямована на зменшення його потенцiйного негативного впливу на фiнансовий стан Пiдприємства. Вище керiвництво контролює процес управлiння цими ризиками, а дiяльнiсть ПрАТ "УКБМ", пов'язана з фiнанс</w:t>
      </w:r>
      <w:r>
        <w:rPr>
          <w:rFonts w:ascii="Times New Roman CYR" w:hAnsi="Times New Roman CYR" w:cs="Times New Roman CYR"/>
          <w:sz w:val="24"/>
          <w:szCs w:val="24"/>
        </w:rPr>
        <w:t>овими ризиками, здiйснюється згiдно з вiдповiдною полiтикою та процедурами. Управлiння ризиками Пiдприємство здiйснює у рамках комплексної системи управлiння. Вона спрямована на виявлення, прогнозування, оцiнку i зведення до мiнiмуму потенцiйно несприятлив</w:t>
      </w:r>
      <w:r>
        <w:rPr>
          <w:rFonts w:ascii="Times New Roman CYR" w:hAnsi="Times New Roman CYR" w:cs="Times New Roman CYR"/>
          <w:sz w:val="24"/>
          <w:szCs w:val="24"/>
        </w:rPr>
        <w:t>их подiй, якi можуть негативно вiдбитися на досягненнi цiлей компанiї.Пiдходи до управлiння кожним iз цих ризикiв представленi нижче.</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Ринковий ризик - це ризик того, що справедлива вартiсть майбутнiх грошових потокiв за фiнансовим iнструментом коливатиметь</w:t>
      </w:r>
      <w:r>
        <w:rPr>
          <w:rFonts w:ascii="Times New Roman CYR" w:hAnsi="Times New Roman CYR" w:cs="Times New Roman CYR"/>
          <w:sz w:val="24"/>
          <w:szCs w:val="24"/>
        </w:rPr>
        <w:t>ся внаслiдок змiн ринкових цiн. Ринковi цiни мiстять у собi три типи ризику: ризик змiни процентної ставки, валютний ризик та iншi цiновi ризики. Пiдприємству не притаманний суттєвий ризик змiни процентної ставки, оскiльки воно зазвичай не позичає кошти за</w:t>
      </w:r>
      <w:r>
        <w:rPr>
          <w:rFonts w:ascii="Times New Roman CYR" w:hAnsi="Times New Roman CYR" w:cs="Times New Roman CYR"/>
          <w:sz w:val="24"/>
          <w:szCs w:val="24"/>
        </w:rPr>
        <w:t xml:space="preserve"> "плаваючими" ставками. Але Пiдприємству притаманнi iншi цiновi ризики: зниження ринкових цiн на будiвельнi матерiали (у тому числi - на щебiнь) внаслiдок скорочення ринкiв збуту в Українi; падiння як нацiональної валюти так i курсу рубля РФ (i вiдповiдно-</w:t>
      </w:r>
      <w:r>
        <w:rPr>
          <w:rFonts w:ascii="Times New Roman CYR" w:hAnsi="Times New Roman CYR" w:cs="Times New Roman CYR"/>
          <w:sz w:val="24"/>
          <w:szCs w:val="24"/>
        </w:rPr>
        <w:t xml:space="preserve"> цiн на продукцiю Пiдприємства) i скорочення ринкiв збуту(часткова втрата ринку в Росiйськiй Федерацiї); зростання цiн на енергоносiї, сировину i матерiали; зростання платежiв за договорами фiнансового лiзингу через збiльшення вiдсоткової ставки та курсу д</w:t>
      </w:r>
      <w:r>
        <w:rPr>
          <w:rFonts w:ascii="Times New Roman CYR" w:hAnsi="Times New Roman CYR" w:cs="Times New Roman CYR"/>
          <w:sz w:val="24"/>
          <w:szCs w:val="24"/>
        </w:rPr>
        <w:t>олара США у порiвняннi до 2013 року. Керiвництво Компанiї вживає всiх необхiдних заходiв щодо зниження ризикiв, та забезпечує обсяги добування та продажу щебеневої продукцiї у вiдповiдностi до договiрних зобов'язань.</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Бiзнес-плани та прогнози грошових поток</w:t>
      </w:r>
      <w:r>
        <w:rPr>
          <w:rFonts w:ascii="Times New Roman CYR" w:hAnsi="Times New Roman CYR" w:cs="Times New Roman CYR"/>
          <w:sz w:val="24"/>
          <w:szCs w:val="24"/>
        </w:rPr>
        <w:t>iв на найближчi 12 мiсяцiв свiдчать про намiри керiвництва забезпечити достатнiсть власних обiгових коштiв Товариства.</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Валютний ризик - це ризик того, що вартiсть фiнансового iнструменту коливатиметься внаслiдок змiн валютних курсiв. Ризик, пов'язаний зi з</w:t>
      </w:r>
      <w:r>
        <w:rPr>
          <w:rFonts w:ascii="Times New Roman CYR" w:hAnsi="Times New Roman CYR" w:cs="Times New Roman CYR"/>
          <w:sz w:val="24"/>
          <w:szCs w:val="24"/>
        </w:rPr>
        <w:t xml:space="preserve">мiнами валютних курсiв, стосується насамперед операцiйної дiяльностi Товариства (коли торгова кредиторська i дебiторська заборгованiсть  деномiнованi в iноземних валютах) i фiнансової дiяльностi (коли процентнi позики Пiдприємства деномiнованi в iноземних </w:t>
      </w:r>
      <w:r>
        <w:rPr>
          <w:rFonts w:ascii="Times New Roman CYR" w:hAnsi="Times New Roman CYR" w:cs="Times New Roman CYR"/>
          <w:sz w:val="24"/>
          <w:szCs w:val="24"/>
        </w:rPr>
        <w:t>валютах).</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 лiквiдностi- це ризик того, що пiдприємство зiткнеться з труднощами при виконаннi зобов'язань, пов'язаних з фiнансовими зобов'язаннями.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здiйснює аналiз строкiв погашення активiв i зобов'язань i планує свою лiквiднiсть залежно в</w:t>
      </w:r>
      <w:r>
        <w:rPr>
          <w:rFonts w:ascii="Times New Roman CYR" w:hAnsi="Times New Roman CYR" w:cs="Times New Roman CYR"/>
          <w:sz w:val="24"/>
          <w:szCs w:val="24"/>
        </w:rPr>
        <w:t>iд очiкуваних строкiв погашення вiдповiдних фiнансових iнструментiв. Потреби Товариства в коротко-i довгостроковiй лiквiдностi здебiльшого забезпечуються за рахунок грошових коштiв вiд операцiйної дiяльностi.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Обачнiсть при управлiннi ризиком лiквiдностi пе</w:t>
      </w:r>
      <w:r>
        <w:rPr>
          <w:rFonts w:ascii="Times New Roman CYR" w:hAnsi="Times New Roman CYR" w:cs="Times New Roman CYR"/>
          <w:sz w:val="24"/>
          <w:szCs w:val="24"/>
        </w:rPr>
        <w:t>редбачає наявнiсть достатньої суми грошових коштiв, а також наявнiсть достатнiх фiнансових ресурсiв для задоволення зобов'язань в момент, коли настає строк їхнього погашення. Управлiння поточною лiквiднiстю пiдприємства здiйснюється шляхом контролю сум деб</w:t>
      </w:r>
      <w:r>
        <w:rPr>
          <w:rFonts w:ascii="Times New Roman CYR" w:hAnsi="Times New Roman CYR" w:cs="Times New Roman CYR"/>
          <w:sz w:val="24"/>
          <w:szCs w:val="24"/>
        </w:rPr>
        <w:t>iторської та кредиторської заборгованостi витрат на програми капiтальних iнвестицiй. Для управлiння лiквiднiстю пiдприємства широко використовується практика передоплати.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Кредитний ризик - це ризик того, що контрагент не виконає своїх зобов'язань за фiнанс</w:t>
      </w:r>
      <w:r>
        <w:rPr>
          <w:rFonts w:ascii="Times New Roman CYR" w:hAnsi="Times New Roman CYR" w:cs="Times New Roman CYR"/>
          <w:sz w:val="24"/>
          <w:szCs w:val="24"/>
        </w:rPr>
        <w:t>овими iнструментами або за контрактом, що може призвести до фiнансових збиткiв. Пiдприємству властивий кредитний ризик вiд операцiйної дiяльностi (насамперед, за торговельною дебiторською заборгованiстю) i вiд фiнансової дiяльностi, включаючи операцiї з iн</w:t>
      </w:r>
      <w:r>
        <w:rPr>
          <w:rFonts w:ascii="Times New Roman CYR" w:hAnsi="Times New Roman CYR" w:cs="Times New Roman CYR"/>
          <w:sz w:val="24"/>
          <w:szCs w:val="24"/>
        </w:rPr>
        <w:t>оземною валютою та iншi фiнансовi iнструменти.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iнструменти, якi потенцiйно можуть призвести до iстотної концентрацiї кредитного ризику Пiдприємства, складаються в основному iз коштiв у банку, торгової та iншої дебiторської заборгованостi. Товарис</w:t>
      </w:r>
      <w:r>
        <w:rPr>
          <w:rFonts w:ascii="Times New Roman CYR" w:hAnsi="Times New Roman CYR" w:cs="Times New Roman CYR"/>
          <w:sz w:val="24"/>
          <w:szCs w:val="24"/>
        </w:rPr>
        <w:t>тво управляє своїм капiталом для забезпечення безперервної дiяльностi пiдприємства в майбутньому i одночасної максимiзацiї прибутку акцiонерiв за рахунок оптимiзацiї спiввiдношення позикових i власних коштiв. Керiвництво Пiдприємства регулярно переглядає с</w:t>
      </w:r>
      <w:r>
        <w:rPr>
          <w:rFonts w:ascii="Times New Roman CYR" w:hAnsi="Times New Roman CYR" w:cs="Times New Roman CYR"/>
          <w:sz w:val="24"/>
          <w:szCs w:val="24"/>
        </w:rPr>
        <w:t>труктуру капiталу ПрАТ "УКБМ".</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ПОДIЇ ПIСЛЯ ЗВIТНОЇ ДАТИ</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Пiсля 31 грудня 2023 року до дати затвердження керiвництвом фiнансової звiтностi не iдентифiковано подiї, якi вказують на необхiднiсть коригування показникiв фiнансової звiтностi за 2023 рiк.</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15. </w:t>
      </w:r>
      <w:r>
        <w:rPr>
          <w:rFonts w:ascii="Times New Roman CYR" w:hAnsi="Times New Roman CYR" w:cs="Times New Roman CYR"/>
          <w:sz w:val="24"/>
          <w:szCs w:val="24"/>
        </w:rPr>
        <w:t>ЗАТВЕРДЖЕННЯ  ФIНАНСОВОЇ ЗВIТНОСТI</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Дата випуску фiнансової звiтностi за 2023 рiк  - пiдписання керiвником,  подання в контролюючi органи"15"лютого 2023 року.</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Генеральний директор ПрАТ"УКБМ"___________________ Венгловський Леонiд Петрович</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М.П.</w:t>
      </w:r>
    </w:p>
    <w:p w:rsidR="00000000" w:rsidRDefault="00A168CC">
      <w:pPr>
        <w:widowControl w:val="0"/>
        <w:autoSpaceDE w:val="0"/>
        <w:autoSpaceDN w:val="0"/>
        <w:adjustRightInd w:val="0"/>
        <w:spacing w:after="0" w:line="240" w:lineRule="auto"/>
        <w:jc w:val="both"/>
        <w:rPr>
          <w:rFonts w:ascii="Times New Roman CYR" w:hAnsi="Times New Roman CYR" w:cs="Times New Roman CYR"/>
          <w:sz w:val="24"/>
          <w:szCs w:val="24"/>
        </w:rPr>
        <w:sectPr w:rsidR="00000000">
          <w:pgSz w:w="16838" w:h="11906" w:orient="landscape"/>
          <w:pgMar w:top="570" w:right="720" w:bottom="570" w:left="720" w:header="720" w:footer="720" w:gutter="0"/>
          <w:cols w:space="720"/>
          <w:noEndnote/>
        </w:sectPr>
      </w:pPr>
    </w:p>
    <w:p w:rsidR="00000000" w:rsidRDefault="00A168CC">
      <w:pPr>
        <w:widowControl w:val="0"/>
        <w:autoSpaceDE w:val="0"/>
        <w:autoSpaceDN w:val="0"/>
        <w:adjustRightInd w:val="0"/>
        <w:spacing w:after="0" w:line="240" w:lineRule="auto"/>
        <w:rPr>
          <w:rFonts w:ascii="Times New Roman CYR" w:hAnsi="Times New Roman CYR" w:cs="Times New Roman CYR"/>
          <w:sz w:val="24"/>
          <w:szCs w:val="24"/>
        </w:rPr>
      </w:pPr>
    </w:p>
    <w:p w:rsidR="00A168CC" w:rsidRDefault="00A168CC">
      <w:pPr>
        <w:widowControl w:val="0"/>
        <w:autoSpaceDE w:val="0"/>
        <w:autoSpaceDN w:val="0"/>
        <w:adjustRightInd w:val="0"/>
        <w:spacing w:after="0" w:line="240" w:lineRule="auto"/>
        <w:rPr>
          <w:rFonts w:ascii="Times New Roman CYR" w:hAnsi="Times New Roman CYR" w:cs="Times New Roman CYR"/>
          <w:sz w:val="24"/>
          <w:szCs w:val="24"/>
        </w:rPr>
      </w:pPr>
    </w:p>
    <w:sectPr w:rsidR="00A168CC">
      <w:pgSz w:w="16838" w:h="11906" w:orient="landscape"/>
      <w:pgMar w:top="570" w:right="720" w:bottom="57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B62"/>
    <w:rsid w:val="005C0B62"/>
    <w:rsid w:val="00A16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9C8B16C-06B1-422B-B8ED-07150C9B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80</Pages>
  <Words>30202</Words>
  <Characters>172154</Characters>
  <Application>Microsoft Office Word</Application>
  <DocSecurity>0</DocSecurity>
  <Lines>1434</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2025-10-06T13:27:00Z</dcterms:created>
  <dcterms:modified xsi:type="dcterms:W3CDTF">2025-10-06T13:27:00Z</dcterms:modified>
</cp:coreProperties>
</file>